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sz w:val="32"/>
          <w:szCs w:val="32"/>
        </w:rPr>
      </w:pPr>
      <w:r>
        <w:rPr>
          <w:rFonts w:ascii="Times New Roman" w:hAnsi="Times New Roman"/>
          <w:sz w:val="32"/>
          <w:szCs w:val="32"/>
        </w:rPr>
        <w:t>Горошинський заклад загальної середньої освіти</w:t>
      </w:r>
    </w:p>
    <w:p>
      <w:pPr>
        <w:spacing w:after="0" w:line="360" w:lineRule="auto"/>
        <w:jc w:val="center"/>
        <w:rPr>
          <w:rFonts w:ascii="Times New Roman" w:hAnsi="Times New Roman"/>
          <w:sz w:val="32"/>
          <w:szCs w:val="32"/>
        </w:rPr>
      </w:pPr>
      <w:r>
        <w:rPr>
          <w:rFonts w:ascii="Times New Roman" w:hAnsi="Times New Roman"/>
          <w:sz w:val="32"/>
          <w:szCs w:val="32"/>
        </w:rPr>
        <w:t>Оболонської сільської ради Полтавської області</w:t>
      </w:r>
    </w:p>
    <w:p>
      <w:pPr>
        <w:jc w:val="center"/>
        <w:rPr>
          <w:rFonts w:ascii="Times New Roman" w:hAnsi="Times New Roman"/>
          <w:sz w:val="32"/>
          <w:szCs w:val="32"/>
        </w:rPr>
      </w:pPr>
    </w:p>
    <w:p>
      <w:pPr>
        <w:jc w:val="center"/>
        <w:rPr>
          <w:rFonts w:ascii="Times New Roman" w:hAnsi="Times New Roman"/>
          <w:sz w:val="32"/>
          <w:szCs w:val="32"/>
        </w:rPr>
      </w:pPr>
    </w:p>
    <w:p>
      <w:pPr>
        <w:spacing w:after="0"/>
        <w:jc w:val="right"/>
        <w:rPr>
          <w:rFonts w:ascii="Times New Roman" w:hAnsi="Times New Roman"/>
          <w:sz w:val="32"/>
          <w:szCs w:val="32"/>
        </w:rPr>
      </w:pPr>
    </w:p>
    <w:p>
      <w:pPr>
        <w:spacing w:after="0"/>
        <w:jc w:val="right"/>
        <w:rPr>
          <w:rFonts w:ascii="Times New Roman" w:hAnsi="Times New Roman"/>
          <w:sz w:val="32"/>
          <w:szCs w:val="32"/>
        </w:rPr>
      </w:pPr>
      <w:bookmarkStart w:id="0" w:name="_GoBack"/>
      <w:r>
        <w:rPr>
          <w:rFonts w:ascii="Times New Roman" w:hAnsi="Times New Roman"/>
          <w:sz w:val="32"/>
          <w:szCs w:val="32"/>
        </w:rPr>
        <w:t>Археологічний напрям</w:t>
      </w:r>
    </w:p>
    <w:bookmarkEnd w:id="0"/>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sz w:val="32"/>
          <w:szCs w:val="32"/>
        </w:rPr>
      </w:pPr>
    </w:p>
    <w:p>
      <w:pPr>
        <w:spacing w:after="0"/>
        <w:jc w:val="center"/>
        <w:rPr>
          <w:rFonts w:ascii="Times New Roman" w:hAnsi="Times New Roman"/>
          <w:b/>
          <w:bCs/>
          <w:sz w:val="44"/>
          <w:szCs w:val="44"/>
        </w:rPr>
      </w:pPr>
      <w:r>
        <w:rPr>
          <w:rFonts w:ascii="Times New Roman" w:hAnsi="Times New Roman"/>
          <w:b/>
          <w:bCs/>
          <w:sz w:val="44"/>
          <w:szCs w:val="44"/>
        </w:rPr>
        <w:t>«Кургани нашого краю»</w:t>
      </w:r>
    </w:p>
    <w:p>
      <w:pPr>
        <w:spacing w:after="0"/>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p>
    <w:p>
      <w:pPr>
        <w:jc w:val="center"/>
        <w:rPr>
          <w:rFonts w:ascii="Times New Roman" w:hAnsi="Times New Roman"/>
          <w:sz w:val="32"/>
          <w:szCs w:val="32"/>
        </w:rPr>
      </w:pPr>
      <w:r>
        <w:rPr>
          <w:rFonts w:ascii="Times New Roman" w:hAnsi="Times New Roman"/>
          <w:sz w:val="32"/>
          <w:szCs w:val="32"/>
        </w:rPr>
        <w:t>2024 рік</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Творче об</w:t>
      </w:r>
      <w:r>
        <w:rPr>
          <w:rFonts w:ascii="Times New Roman" w:hAnsi="Times New Roman"/>
          <w:b/>
          <w:bCs/>
          <w:sz w:val="28"/>
          <w:szCs w:val="28"/>
          <w:lang w:val="ru-RU"/>
        </w:rPr>
        <w:t>’</w:t>
      </w:r>
      <w:r>
        <w:rPr>
          <w:rFonts w:ascii="Times New Roman" w:hAnsi="Times New Roman"/>
          <w:b/>
          <w:bCs/>
          <w:sz w:val="28"/>
          <w:szCs w:val="28"/>
        </w:rPr>
        <w:t>єднання «</w:t>
      </w:r>
      <w:r>
        <w:rPr>
          <w:rFonts w:ascii="Times New Roman" w:hAnsi="Times New Roman"/>
          <w:b/>
          <w:bCs/>
          <w:sz w:val="28"/>
          <w:szCs w:val="28"/>
          <w:lang w:val="ru-RU"/>
        </w:rPr>
        <w:t>Кра</w:t>
      </w:r>
      <w:r>
        <w:rPr>
          <w:rFonts w:ascii="Times New Roman" w:hAnsi="Times New Roman"/>
          <w:b/>
          <w:bCs/>
          <w:sz w:val="28"/>
          <w:szCs w:val="28"/>
        </w:rPr>
        <w:t>є</w:t>
      </w:r>
      <w:r>
        <w:rPr>
          <w:rFonts w:ascii="Times New Roman" w:hAnsi="Times New Roman"/>
          <w:b/>
          <w:bCs/>
          <w:sz w:val="28"/>
          <w:szCs w:val="28"/>
          <w:lang w:val="ru-RU"/>
        </w:rPr>
        <w:t>люби</w:t>
      </w:r>
      <w:r>
        <w:rPr>
          <w:rFonts w:ascii="Times New Roman" w:hAnsi="Times New Roman"/>
          <w:b/>
          <w:bCs/>
          <w:sz w:val="28"/>
          <w:szCs w:val="28"/>
        </w:rPr>
        <w:t>»</w:t>
      </w:r>
    </w:p>
    <w:p>
      <w:pPr>
        <w:spacing w:after="0" w:line="360" w:lineRule="auto"/>
        <w:ind w:firstLine="397"/>
        <w:jc w:val="center"/>
        <w:rPr>
          <w:rFonts w:ascii="Times New Roman" w:hAnsi="Times New Roman"/>
          <w:b/>
          <w:bCs/>
          <w:sz w:val="28"/>
          <w:szCs w:val="28"/>
        </w:rPr>
      </w:pPr>
    </w:p>
    <w:p>
      <w:pPr>
        <w:spacing w:after="0" w:line="360" w:lineRule="auto"/>
        <w:ind w:firstLine="397"/>
        <w:jc w:val="both"/>
        <w:rPr>
          <w:rFonts w:ascii="Times New Roman" w:hAnsi="Times New Roman"/>
          <w:sz w:val="28"/>
          <w:szCs w:val="28"/>
        </w:rPr>
      </w:pPr>
      <w:r>
        <w:rPr>
          <w:rFonts w:ascii="Times New Roman" w:hAnsi="Times New Roman"/>
          <w:sz w:val="28"/>
          <w:szCs w:val="28"/>
        </w:rPr>
        <w:t>За археологічним напрямом – учениця 10 класу Тетяна Тесля.</w:t>
      </w:r>
    </w:p>
    <w:p>
      <w:pPr>
        <w:spacing w:after="0" w:line="360" w:lineRule="auto"/>
        <w:ind w:firstLine="397"/>
        <w:jc w:val="both"/>
        <w:rPr>
          <w:rFonts w:ascii="Times New Roman" w:hAnsi="Times New Roman"/>
          <w:sz w:val="28"/>
          <w:szCs w:val="28"/>
        </w:rPr>
      </w:pPr>
      <w:r>
        <w:rPr>
          <w:rFonts w:ascii="Times New Roman" w:hAnsi="Times New Roman"/>
          <w:sz w:val="28"/>
          <w:szCs w:val="28"/>
        </w:rPr>
        <w:t>Керівник напряму: Костенко Микола Анатолійович, Горошинський заклад загальної середньої освіти, тел. 067-328-04-50.</w:t>
      </w:r>
    </w:p>
    <w:p>
      <w:pPr>
        <w:spacing w:after="0" w:line="360" w:lineRule="auto"/>
        <w:ind w:firstLine="397"/>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Зміст</w:t>
      </w:r>
    </w:p>
    <w:p>
      <w:pPr>
        <w:spacing w:after="0" w:line="360" w:lineRule="auto"/>
        <w:ind w:firstLine="397"/>
        <w:jc w:val="both"/>
        <w:rPr>
          <w:rFonts w:ascii="Times New Roman" w:hAnsi="Times New Roman"/>
          <w:sz w:val="28"/>
          <w:szCs w:val="28"/>
        </w:rPr>
      </w:pPr>
      <w:r>
        <w:rPr>
          <w:rFonts w:ascii="Times New Roman" w:hAnsi="Times New Roman"/>
          <w:sz w:val="28"/>
          <w:szCs w:val="28"/>
        </w:rPr>
        <w:t>Вступ……………………………………………………………………….......4</w:t>
      </w:r>
    </w:p>
    <w:p>
      <w:pPr>
        <w:spacing w:after="0" w:line="360" w:lineRule="auto"/>
        <w:ind w:firstLine="397"/>
        <w:jc w:val="both"/>
        <w:rPr>
          <w:rFonts w:ascii="Times New Roman" w:hAnsi="Times New Roman"/>
          <w:sz w:val="28"/>
          <w:szCs w:val="28"/>
        </w:rPr>
      </w:pPr>
      <w:r>
        <w:rPr>
          <w:rFonts w:ascii="Times New Roman" w:hAnsi="Times New Roman"/>
          <w:sz w:val="28"/>
          <w:szCs w:val="28"/>
        </w:rPr>
        <w:t>Результати дослідження………………………………………………………7</w:t>
      </w:r>
    </w:p>
    <w:p>
      <w:pPr>
        <w:spacing w:after="0" w:line="360" w:lineRule="auto"/>
        <w:ind w:firstLine="397"/>
        <w:jc w:val="both"/>
        <w:rPr>
          <w:rFonts w:ascii="Times New Roman" w:hAnsi="Times New Roman"/>
          <w:sz w:val="28"/>
          <w:szCs w:val="28"/>
        </w:rPr>
      </w:pPr>
      <w:r>
        <w:rPr>
          <w:rFonts w:ascii="Times New Roman" w:hAnsi="Times New Roman"/>
          <w:sz w:val="28"/>
          <w:szCs w:val="28"/>
        </w:rPr>
        <w:t>Висновки……………………………………………………………………..14</w:t>
      </w:r>
    </w:p>
    <w:p>
      <w:pPr>
        <w:spacing w:after="0" w:line="360" w:lineRule="auto"/>
        <w:ind w:firstLine="397"/>
        <w:jc w:val="both"/>
        <w:rPr>
          <w:rFonts w:ascii="Times New Roman" w:hAnsi="Times New Roman"/>
          <w:sz w:val="28"/>
          <w:szCs w:val="28"/>
        </w:rPr>
      </w:pPr>
      <w:r>
        <w:rPr>
          <w:rFonts w:ascii="Times New Roman" w:hAnsi="Times New Roman"/>
          <w:sz w:val="28"/>
          <w:szCs w:val="28"/>
        </w:rPr>
        <w:t>Список джерел…………….....………………………………………………15</w:t>
      </w:r>
    </w:p>
    <w:p>
      <w:pPr>
        <w:spacing w:after="0" w:line="360" w:lineRule="auto"/>
        <w:ind w:firstLine="397"/>
        <w:jc w:val="both"/>
        <w:rPr>
          <w:rFonts w:ascii="Times New Roman" w:hAnsi="Times New Roman"/>
          <w:sz w:val="28"/>
          <w:szCs w:val="28"/>
        </w:rPr>
      </w:pPr>
      <w:r>
        <w:rPr>
          <w:rFonts w:ascii="Times New Roman" w:hAnsi="Times New Roman"/>
          <w:sz w:val="28"/>
          <w:szCs w:val="28"/>
        </w:rPr>
        <w:t>Додатки……………………………………………………………………….16</w:t>
      </w: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Вступ</w:t>
      </w:r>
    </w:p>
    <w:p>
      <w:pPr>
        <w:spacing w:after="0" w:line="360" w:lineRule="auto"/>
        <w:ind w:firstLine="397"/>
        <w:jc w:val="center"/>
        <w:rPr>
          <w:rFonts w:ascii="Times New Roman" w:hAnsi="Times New Roman"/>
          <w:sz w:val="28"/>
          <w:szCs w:val="28"/>
        </w:rPr>
      </w:pP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Актуальність теми.</w:t>
      </w:r>
    </w:p>
    <w:p>
      <w:pPr>
        <w:spacing w:after="0" w:line="360" w:lineRule="auto"/>
        <w:ind w:firstLine="397"/>
        <w:jc w:val="both"/>
        <w:rPr>
          <w:rFonts w:ascii="Times New Roman" w:hAnsi="Times New Roman"/>
          <w:sz w:val="28"/>
          <w:szCs w:val="28"/>
        </w:rPr>
      </w:pPr>
      <w:r>
        <w:rPr>
          <w:rFonts w:ascii="Times New Roman" w:hAnsi="Times New Roman"/>
          <w:sz w:val="28"/>
          <w:szCs w:val="28"/>
        </w:rPr>
        <w:t>За кілька років до нинішнього часу в шкільній краєзнавчій роботі ми цікавилися  питанням  існування  в  часи  Русі-України  поселення  на місці  с. Горошине та першої згадки Горошина (</w:t>
      </w:r>
      <w:r>
        <w:rPr>
          <w:rFonts w:ascii="Times New Roman" w:hAnsi="Times New Roman"/>
          <w:sz w:val="28"/>
          <w:szCs w:val="28"/>
          <w:lang w:val="en-US"/>
        </w:rPr>
        <w:t>XI</w:t>
      </w:r>
      <w:r>
        <w:rPr>
          <w:rFonts w:ascii="Times New Roman" w:hAnsi="Times New Roman"/>
          <w:sz w:val="28"/>
          <w:szCs w:val="28"/>
        </w:rPr>
        <w:t xml:space="preserve"> ст), дослідженням позначення Горошина на давніх картах, історією перебування тут І. П. Котляревського (1812 р.), іншими історичними подіями та особами, пов’язаними з нашим краєм.   </w:t>
      </w:r>
      <w:r>
        <w:rPr>
          <w:rFonts w:ascii="Times New Roman" w:hAnsi="Times New Roman"/>
          <w:sz w:val="28"/>
          <w:szCs w:val="28"/>
          <w:lang w:val="ru-RU"/>
        </w:rPr>
        <w:t xml:space="preserve">Нашу  </w:t>
      </w:r>
      <w:r>
        <w:rPr>
          <w:rFonts w:ascii="Times New Roman" w:hAnsi="Times New Roman"/>
          <w:sz w:val="28"/>
          <w:szCs w:val="28"/>
        </w:rPr>
        <w:t>увагу  привертали   окремі  кургани,  що  знаходяться поблизу  с. Горошине та населених пунктів на території обслуговування школи.</w:t>
      </w:r>
    </w:p>
    <w:p>
      <w:pPr>
        <w:spacing w:after="0" w:line="360" w:lineRule="auto"/>
        <w:ind w:firstLine="397"/>
        <w:jc w:val="both"/>
        <w:rPr>
          <w:rFonts w:ascii="Times New Roman" w:hAnsi="Times New Roman"/>
          <w:sz w:val="28"/>
          <w:szCs w:val="28"/>
        </w:rPr>
      </w:pPr>
      <w:r>
        <w:rPr>
          <w:rFonts w:ascii="Times New Roman" w:hAnsi="Times New Roman"/>
          <w:sz w:val="28"/>
          <w:szCs w:val="28"/>
        </w:rPr>
        <w:t>А сьогодні ми презентуємо звіт про дослідження за темою «Кургани нашого краю», в якому викладено результати комплексного підходу вивчення цього питання.</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rPr>
        <w:t>Актуальність теми обґрунтовується не лише нашим власним зацікавленням. Нині посилюється увага місцевої влади різних рівнів до краєзнавчої роботи, зокрема, й до дослідження археологічних пам’яток, якими є кургани. Державна влада теж займається цим питанням. Так, наприклад, Міністерством культури, молоді та спорту України було прийнято наказ № 1062 від 25.02.2020 р. «Про занесення об</w:t>
      </w:r>
      <w:r>
        <w:rPr>
          <w:rFonts w:ascii="Times New Roman" w:hAnsi="Times New Roman"/>
          <w:sz w:val="28"/>
          <w:szCs w:val="28"/>
          <w:lang w:val="ru-RU"/>
        </w:rPr>
        <w:t>’</w:t>
      </w:r>
      <w:r>
        <w:rPr>
          <w:rFonts w:ascii="Times New Roman" w:hAnsi="Times New Roman"/>
          <w:sz w:val="28"/>
          <w:szCs w:val="28"/>
        </w:rPr>
        <w:t xml:space="preserve">єктів культурної спадщини до Державного реєстру </w:t>
      </w:r>
      <w:r>
        <w:rPr>
          <w:rFonts w:ascii="Times New Roman" w:hAnsi="Times New Roman"/>
          <w:sz w:val="28"/>
          <w:szCs w:val="28"/>
          <w:lang w:val="ru-RU"/>
        </w:rPr>
        <w:t>нерухомих пам’яток Укра</w:t>
      </w:r>
      <w:r>
        <w:rPr>
          <w:rFonts w:ascii="Times New Roman" w:hAnsi="Times New Roman"/>
          <w:sz w:val="28"/>
          <w:szCs w:val="28"/>
        </w:rPr>
        <w:t>їни»</w:t>
      </w:r>
      <w:r>
        <w:rPr>
          <w:rFonts w:ascii="Times New Roman" w:hAnsi="Times New Roman"/>
          <w:sz w:val="28"/>
          <w:szCs w:val="28"/>
          <w:lang w:val="ru-RU"/>
        </w:rPr>
        <w:t>. Додаток до цього наказу – це «Перел</w:t>
      </w:r>
      <w:r>
        <w:rPr>
          <w:rFonts w:ascii="Times New Roman" w:hAnsi="Times New Roman"/>
          <w:sz w:val="28"/>
          <w:szCs w:val="28"/>
        </w:rPr>
        <w:t>ік пам</w:t>
      </w:r>
      <w:r>
        <w:rPr>
          <w:rFonts w:ascii="Times New Roman" w:hAnsi="Times New Roman"/>
          <w:sz w:val="28"/>
          <w:szCs w:val="28"/>
          <w:lang w:val="ru-RU"/>
        </w:rPr>
        <w:t>’</w:t>
      </w:r>
      <w:r>
        <w:rPr>
          <w:rFonts w:ascii="Times New Roman" w:hAnsi="Times New Roman"/>
          <w:sz w:val="28"/>
          <w:szCs w:val="28"/>
        </w:rPr>
        <w:t>яток</w:t>
      </w:r>
      <w:r>
        <w:rPr>
          <w:rFonts w:ascii="Times New Roman" w:hAnsi="Times New Roman"/>
          <w:sz w:val="28"/>
          <w:szCs w:val="28"/>
          <w:lang w:val="ru-RU"/>
        </w:rPr>
        <w:t xml:space="preserve"> культурно</w:t>
      </w:r>
      <w:r>
        <w:rPr>
          <w:rFonts w:ascii="Times New Roman" w:hAnsi="Times New Roman"/>
          <w:sz w:val="28"/>
          <w:szCs w:val="28"/>
        </w:rPr>
        <w:t>ї спадщини Полтавської області, які заносяться до Державного реєстру нерухомих пам’яток України за категорією місцевого значення». У переліку 1081 пам</w:t>
      </w:r>
      <w:r>
        <w:rPr>
          <w:rFonts w:ascii="Times New Roman" w:hAnsi="Times New Roman"/>
          <w:sz w:val="28"/>
          <w:szCs w:val="28"/>
          <w:lang w:val="ru-RU"/>
        </w:rPr>
        <w:t>’</w:t>
      </w:r>
      <w:r>
        <w:rPr>
          <w:rFonts w:ascii="Times New Roman" w:hAnsi="Times New Roman"/>
          <w:sz w:val="28"/>
          <w:szCs w:val="28"/>
        </w:rPr>
        <w:t>ятка</w:t>
      </w:r>
      <w:r>
        <w:rPr>
          <w:rFonts w:ascii="Times New Roman" w:hAnsi="Times New Roman"/>
          <w:sz w:val="28"/>
          <w:szCs w:val="28"/>
          <w:lang w:val="ru-RU"/>
        </w:rPr>
        <w:t xml:space="preserve"> област</w:t>
      </w:r>
      <w:r>
        <w:rPr>
          <w:rFonts w:ascii="Times New Roman" w:hAnsi="Times New Roman"/>
          <w:sz w:val="28"/>
          <w:szCs w:val="28"/>
        </w:rPr>
        <w:t>і</w:t>
      </w:r>
      <w:r>
        <w:rPr>
          <w:rFonts w:ascii="Times New Roman" w:hAnsi="Times New Roman"/>
          <w:sz w:val="28"/>
          <w:szCs w:val="28"/>
          <w:lang w:val="ru-RU"/>
        </w:rPr>
        <w:t>,</w:t>
      </w:r>
      <w:r>
        <w:rPr>
          <w:rFonts w:ascii="Times New Roman" w:hAnsi="Times New Roman"/>
          <w:sz w:val="28"/>
          <w:szCs w:val="28"/>
        </w:rPr>
        <w:t xml:space="preserve"> серед них – кі</w:t>
      </w:r>
      <w:r>
        <w:rPr>
          <w:rFonts w:ascii="Times New Roman" w:hAnsi="Times New Roman"/>
          <w:sz w:val="28"/>
          <w:szCs w:val="28"/>
          <w:lang w:val="ru-RU"/>
        </w:rPr>
        <w:t>лька десятк</w:t>
      </w:r>
      <w:r>
        <w:rPr>
          <w:rFonts w:ascii="Times New Roman" w:hAnsi="Times New Roman"/>
          <w:sz w:val="28"/>
          <w:szCs w:val="28"/>
        </w:rPr>
        <w:t>ів курганних некрополів або окремих курганів. Однак, у переліку немає курганів з околиць с. Горошине та інших курганів тодішнього Семенівського району, до якого належало Горошине.</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Серед пам’яток археології, як об’</w:t>
      </w:r>
      <w:r>
        <w:rPr>
          <w:rFonts w:ascii="Times New Roman" w:hAnsi="Times New Roman"/>
          <w:sz w:val="28"/>
          <w:szCs w:val="28"/>
        </w:rPr>
        <w:t>єктів культурної спадщини національного значення</w:t>
      </w:r>
      <w:r>
        <w:rPr>
          <w:rFonts w:ascii="Times New Roman" w:hAnsi="Times New Roman"/>
          <w:sz w:val="28"/>
          <w:szCs w:val="28"/>
          <w:lang w:val="ru-RU"/>
        </w:rPr>
        <w:t>, теж не зустр</w:t>
      </w:r>
      <w:r>
        <w:rPr>
          <w:rFonts w:ascii="Times New Roman" w:hAnsi="Times New Roman"/>
          <w:sz w:val="28"/>
          <w:szCs w:val="28"/>
        </w:rPr>
        <w:t>ічаються пам</w:t>
      </w:r>
      <w:r>
        <w:rPr>
          <w:rFonts w:ascii="Times New Roman" w:hAnsi="Times New Roman"/>
          <w:sz w:val="28"/>
          <w:szCs w:val="28"/>
          <w:lang w:val="ru-RU"/>
        </w:rPr>
        <w:t>’</w:t>
      </w:r>
      <w:r>
        <w:rPr>
          <w:rFonts w:ascii="Times New Roman" w:hAnsi="Times New Roman"/>
          <w:sz w:val="28"/>
          <w:szCs w:val="28"/>
        </w:rPr>
        <w:t>ятки нашої територіальної громади.</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З офіційного сайту </w:t>
      </w:r>
      <w:r>
        <w:rPr>
          <w:rStyle w:val="13"/>
          <w:rFonts w:ascii="Times New Roman" w:hAnsi="Times New Roman"/>
          <w:b w:val="0"/>
          <w:bCs w:val="0"/>
          <w:color w:val="000000"/>
          <w:sz w:val="28"/>
          <w:szCs w:val="28"/>
          <w:shd w:val="clear" w:color="auto" w:fill="FFFFFF"/>
        </w:rPr>
        <w:t>Міністерства культури та інформаційної політики України  ми  отримали  перелік  пам</w:t>
      </w:r>
      <w:r>
        <w:rPr>
          <w:rStyle w:val="13"/>
          <w:rFonts w:ascii="Times New Roman" w:hAnsi="Times New Roman"/>
          <w:b w:val="0"/>
          <w:bCs w:val="0"/>
          <w:color w:val="000000"/>
          <w:sz w:val="28"/>
          <w:szCs w:val="28"/>
          <w:shd w:val="clear" w:color="auto" w:fill="FFFFFF"/>
          <w:lang w:val="ru-RU"/>
        </w:rPr>
        <w:t>’</w:t>
      </w:r>
      <w:r>
        <w:rPr>
          <w:rStyle w:val="13"/>
          <w:rFonts w:ascii="Times New Roman" w:hAnsi="Times New Roman"/>
          <w:b w:val="0"/>
          <w:bCs w:val="0"/>
          <w:color w:val="000000"/>
          <w:sz w:val="28"/>
          <w:szCs w:val="28"/>
          <w:shd w:val="clear" w:color="auto" w:fill="FFFFFF"/>
        </w:rPr>
        <w:t>яток</w:t>
      </w:r>
      <w:r>
        <w:rPr>
          <w:rStyle w:val="13"/>
          <w:rFonts w:ascii="Times New Roman" w:hAnsi="Times New Roman"/>
          <w:b w:val="0"/>
          <w:bCs w:val="0"/>
          <w:color w:val="000000"/>
          <w:sz w:val="28"/>
          <w:szCs w:val="28"/>
          <w:shd w:val="clear" w:color="auto" w:fill="FFFFFF"/>
          <w:lang w:val="ru-RU"/>
        </w:rPr>
        <w:t>,</w:t>
      </w:r>
      <w:r>
        <w:rPr>
          <w:rStyle w:val="13"/>
          <w:rFonts w:ascii="Times New Roman" w:hAnsi="Times New Roman"/>
          <w:b w:val="0"/>
          <w:bCs w:val="0"/>
          <w:color w:val="000000"/>
          <w:sz w:val="28"/>
          <w:szCs w:val="28"/>
          <w:shd w:val="clear" w:color="auto" w:fill="FFFFFF"/>
        </w:rPr>
        <w:t xml:space="preserve">  занесених  до  </w:t>
      </w:r>
      <w:r>
        <w:rPr>
          <w:rFonts w:ascii="Times New Roman" w:hAnsi="Times New Roman"/>
          <w:sz w:val="28"/>
          <w:szCs w:val="28"/>
        </w:rPr>
        <w:t>Державного  реєст-ру нерухомих пам’яток України за категорією місцевого значення станом на 10. 10. 2023 р. На території, що входила до колишнього Семенівського р-ну, виділено лише одну пам</w:t>
      </w:r>
      <w:r>
        <w:rPr>
          <w:rFonts w:ascii="Times New Roman" w:hAnsi="Times New Roman"/>
          <w:sz w:val="28"/>
          <w:szCs w:val="28"/>
          <w:lang w:val="ru-RU"/>
        </w:rPr>
        <w:t>’</w:t>
      </w:r>
      <w:r>
        <w:rPr>
          <w:rFonts w:ascii="Times New Roman" w:hAnsi="Times New Roman"/>
          <w:sz w:val="28"/>
          <w:szCs w:val="28"/>
        </w:rPr>
        <w:t>ятку археології</w:t>
      </w:r>
      <w:r>
        <w:rPr>
          <w:rFonts w:ascii="Times New Roman" w:hAnsi="Times New Roman"/>
          <w:sz w:val="28"/>
          <w:szCs w:val="28"/>
          <w:lang w:val="ru-RU"/>
        </w:rPr>
        <w:t>, яка була включена до цього ре</w:t>
      </w:r>
      <w:r>
        <w:rPr>
          <w:rFonts w:ascii="Times New Roman" w:hAnsi="Times New Roman"/>
          <w:sz w:val="28"/>
          <w:szCs w:val="28"/>
        </w:rPr>
        <w:t xml:space="preserve">єстру </w:t>
      </w:r>
      <w:r>
        <w:rPr>
          <w:rFonts w:ascii="Times New Roman" w:hAnsi="Times New Roman"/>
          <w:sz w:val="28"/>
          <w:szCs w:val="28"/>
          <w:lang w:val="ru-RU"/>
        </w:rPr>
        <w:t xml:space="preserve">Це </w:t>
      </w:r>
      <w:r>
        <w:rPr>
          <w:rFonts w:ascii="Times New Roman" w:hAnsi="Times New Roman"/>
          <w:bCs/>
          <w:sz w:val="28"/>
          <w:szCs w:val="28"/>
        </w:rPr>
        <w:t>«Літописне городище «Горошин» часу Київської Русі (X-XIII ст.)». Ця пам</w:t>
      </w:r>
      <w:r>
        <w:rPr>
          <w:rFonts w:ascii="Times New Roman" w:hAnsi="Times New Roman"/>
          <w:bCs/>
          <w:sz w:val="28"/>
          <w:szCs w:val="28"/>
          <w:lang w:val="ru-RU"/>
        </w:rPr>
        <w:t>’</w:t>
      </w:r>
      <w:r>
        <w:rPr>
          <w:rFonts w:ascii="Times New Roman" w:hAnsi="Times New Roman"/>
          <w:bCs/>
          <w:sz w:val="28"/>
          <w:szCs w:val="28"/>
        </w:rPr>
        <w:t xml:space="preserve">ятка має охоронний номер 2891-Пл відповідно </w:t>
      </w:r>
      <w:r>
        <w:rPr>
          <w:rFonts w:ascii="Times New Roman" w:hAnsi="Times New Roman"/>
          <w:bCs/>
          <w:sz w:val="28"/>
          <w:szCs w:val="28"/>
          <w:lang w:val="ru-RU"/>
        </w:rPr>
        <w:t>до</w:t>
      </w:r>
      <w:r>
        <w:rPr>
          <w:rFonts w:ascii="Times New Roman" w:hAnsi="Times New Roman"/>
          <w:bCs/>
          <w:sz w:val="28"/>
          <w:szCs w:val="28"/>
        </w:rPr>
        <w:t xml:space="preserve"> наказ</w:t>
      </w:r>
      <w:r>
        <w:rPr>
          <w:rFonts w:ascii="Times New Roman" w:hAnsi="Times New Roman"/>
          <w:bCs/>
          <w:sz w:val="28"/>
          <w:szCs w:val="28"/>
          <w:lang w:val="ru-RU"/>
        </w:rPr>
        <w:t>у</w:t>
      </w:r>
      <w:r>
        <w:rPr>
          <w:rFonts w:ascii="Times New Roman" w:hAnsi="Times New Roman"/>
          <w:bCs/>
          <w:sz w:val="28"/>
          <w:szCs w:val="28"/>
        </w:rPr>
        <w:t xml:space="preserve"> Міністерства культури, молоді та спорту України № 1062 від 25.02.2020 р.</w:t>
      </w:r>
    </w:p>
    <w:p>
      <w:pPr>
        <w:spacing w:after="0" w:line="360" w:lineRule="auto"/>
        <w:ind w:firstLine="397"/>
        <w:jc w:val="both"/>
        <w:rPr>
          <w:rFonts w:ascii="Times New Roman" w:hAnsi="Times New Roman"/>
          <w:sz w:val="28"/>
          <w:szCs w:val="28"/>
        </w:rPr>
      </w:pPr>
      <w:r>
        <w:rPr>
          <w:rFonts w:ascii="Times New Roman" w:hAnsi="Times New Roman"/>
          <w:bCs/>
          <w:sz w:val="28"/>
          <w:szCs w:val="28"/>
          <w:lang w:val="ru-RU"/>
        </w:rPr>
        <w:t>Н</w:t>
      </w:r>
      <w:r>
        <w:rPr>
          <w:rFonts w:ascii="Times New Roman" w:hAnsi="Times New Roman"/>
          <w:bCs/>
          <w:sz w:val="28"/>
          <w:szCs w:val="28"/>
        </w:rPr>
        <w:t>ауковцями було обстежено десятки курганів, майданів, курганних могильників у колишньому Семенівському районі. Всього на 2013 рік виявлено</w:t>
      </w:r>
      <w:r>
        <w:rPr>
          <w:rFonts w:ascii="Times New Roman" w:hAnsi="Times New Roman"/>
          <w:bCs/>
          <w:sz w:val="28"/>
          <w:szCs w:val="28"/>
          <w:lang w:val="ru-RU"/>
        </w:rPr>
        <w:t xml:space="preserve"> </w:t>
      </w:r>
      <w:r>
        <w:rPr>
          <w:rFonts w:ascii="Times New Roman" w:hAnsi="Times New Roman"/>
          <w:bCs/>
          <w:sz w:val="28"/>
          <w:szCs w:val="28"/>
        </w:rPr>
        <w:t>і описано</w:t>
      </w:r>
      <w:r>
        <w:rPr>
          <w:rFonts w:ascii="Times New Roman" w:hAnsi="Times New Roman"/>
          <w:bCs/>
          <w:sz w:val="28"/>
          <w:szCs w:val="28"/>
          <w:lang w:val="ru-RU"/>
        </w:rPr>
        <w:t xml:space="preserve"> в книз</w:t>
      </w:r>
      <w:r>
        <w:rPr>
          <w:rFonts w:ascii="Times New Roman" w:hAnsi="Times New Roman"/>
          <w:bCs/>
          <w:sz w:val="28"/>
          <w:szCs w:val="28"/>
        </w:rPr>
        <w:t>і</w:t>
      </w:r>
      <w:r>
        <w:rPr>
          <w:rFonts w:ascii="Times New Roman" w:hAnsi="Times New Roman"/>
          <w:bCs/>
          <w:sz w:val="28"/>
          <w:szCs w:val="28"/>
          <w:lang w:val="ru-RU"/>
        </w:rPr>
        <w:t xml:space="preserve"> «Звід пам’яток історії та культури України: Полтавська область. Семенівський район» </w:t>
      </w:r>
      <w:r>
        <w:rPr>
          <w:rFonts w:ascii="Times New Roman" w:hAnsi="Times New Roman"/>
          <w:bCs/>
          <w:sz w:val="28"/>
          <w:szCs w:val="28"/>
        </w:rPr>
        <w:t>184 пам</w:t>
      </w:r>
      <w:r>
        <w:rPr>
          <w:rFonts w:ascii="Times New Roman" w:hAnsi="Times New Roman"/>
          <w:bCs/>
          <w:sz w:val="28"/>
          <w:szCs w:val="28"/>
          <w:lang w:val="ru-RU"/>
        </w:rPr>
        <w:t>’</w:t>
      </w:r>
      <w:r>
        <w:rPr>
          <w:rFonts w:ascii="Times New Roman" w:hAnsi="Times New Roman"/>
          <w:bCs/>
          <w:sz w:val="28"/>
          <w:szCs w:val="28"/>
        </w:rPr>
        <w:t xml:space="preserve">ятки археології. Питання включення їх до </w:t>
      </w:r>
      <w:r>
        <w:rPr>
          <w:rFonts w:ascii="Times New Roman" w:hAnsi="Times New Roman"/>
          <w:sz w:val="28"/>
          <w:szCs w:val="28"/>
        </w:rPr>
        <w:t>Державного реєстру нерухомих пам’яток потребує фахової роботи з підготовки відповідних матеріалів, а також може зачіпати інтереси землекористувачів, що користуються землею, на якій знаходяться пам</w:t>
      </w:r>
      <w:r>
        <w:rPr>
          <w:rFonts w:ascii="Times New Roman" w:hAnsi="Times New Roman"/>
          <w:sz w:val="28"/>
          <w:szCs w:val="28"/>
          <w:lang w:val="ru-RU"/>
        </w:rPr>
        <w:t>’</w:t>
      </w:r>
      <w:r>
        <w:rPr>
          <w:rFonts w:ascii="Times New Roman" w:hAnsi="Times New Roman"/>
          <w:sz w:val="28"/>
          <w:szCs w:val="28"/>
        </w:rPr>
        <w:t>ятки. Отже, це питання потребує комплексного виваженого вирішення.</w:t>
      </w:r>
    </w:p>
    <w:p>
      <w:pPr>
        <w:spacing w:after="0" w:line="360" w:lineRule="auto"/>
        <w:ind w:firstLine="397"/>
        <w:jc w:val="both"/>
        <w:rPr>
          <w:rFonts w:ascii="Times New Roman" w:hAnsi="Times New Roman"/>
          <w:sz w:val="28"/>
          <w:szCs w:val="28"/>
        </w:rPr>
      </w:pPr>
      <w:r>
        <w:rPr>
          <w:rFonts w:ascii="Times New Roman" w:hAnsi="Times New Roman"/>
          <w:b/>
          <w:bCs/>
          <w:sz w:val="28"/>
          <w:szCs w:val="28"/>
        </w:rPr>
        <w:t>Метою роботи</w:t>
      </w:r>
      <w:r>
        <w:rPr>
          <w:rFonts w:ascii="Times New Roman" w:hAnsi="Times New Roman"/>
          <w:sz w:val="28"/>
          <w:szCs w:val="28"/>
        </w:rPr>
        <w:t xml:space="preserve"> є оцінка кількості та з’ясування стану курганів, що знаходяться поблизу с. Горошине Кременчуцького району Полтавської області, формулювання нашого бачення щодо питання вивчення курганів та їх збереження.</w:t>
      </w:r>
    </w:p>
    <w:p>
      <w:pPr>
        <w:spacing w:after="0" w:line="360" w:lineRule="auto"/>
        <w:ind w:firstLine="397"/>
        <w:jc w:val="both"/>
        <w:rPr>
          <w:rFonts w:ascii="Times New Roman" w:hAnsi="Times New Roman"/>
          <w:sz w:val="28"/>
          <w:szCs w:val="28"/>
        </w:rPr>
      </w:pPr>
      <w:r>
        <w:rPr>
          <w:rFonts w:ascii="Times New Roman" w:hAnsi="Times New Roman"/>
          <w:b/>
          <w:bCs/>
          <w:sz w:val="28"/>
          <w:szCs w:val="28"/>
        </w:rPr>
        <w:t>Об</w:t>
      </w:r>
      <w:r>
        <w:rPr>
          <w:rFonts w:ascii="Times New Roman" w:hAnsi="Times New Roman"/>
          <w:b/>
          <w:bCs/>
          <w:sz w:val="28"/>
          <w:szCs w:val="28"/>
          <w:lang w:val="ru-RU"/>
        </w:rPr>
        <w:t>’</w:t>
      </w:r>
      <w:r>
        <w:rPr>
          <w:rFonts w:ascii="Times New Roman" w:hAnsi="Times New Roman"/>
          <w:b/>
          <w:bCs/>
          <w:sz w:val="28"/>
          <w:szCs w:val="28"/>
        </w:rPr>
        <w:t>єкт</w:t>
      </w:r>
      <w:r>
        <w:rPr>
          <w:rFonts w:ascii="Times New Roman" w:hAnsi="Times New Roman"/>
          <w:b/>
          <w:bCs/>
          <w:sz w:val="28"/>
          <w:szCs w:val="28"/>
          <w:lang w:val="ru-RU"/>
        </w:rPr>
        <w:t xml:space="preserve"> досл</w:t>
      </w:r>
      <w:r>
        <w:rPr>
          <w:rFonts w:ascii="Times New Roman" w:hAnsi="Times New Roman"/>
          <w:b/>
          <w:bCs/>
          <w:sz w:val="28"/>
          <w:szCs w:val="28"/>
        </w:rPr>
        <w:t>ідження</w:t>
      </w:r>
      <w:r>
        <w:rPr>
          <w:rFonts w:ascii="Times New Roman" w:hAnsi="Times New Roman"/>
          <w:sz w:val="28"/>
          <w:szCs w:val="28"/>
        </w:rPr>
        <w:t>: кургани поблизу с. Горошине Кременчуцького району Полтавської області.</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Щоб ґрунтовно опрацювати тему, ми ознайомлювались з публікаціями дослідників курганів, зокрема, дослідників місцевих курганів; порівнювали зміст топографічних карт нашого краю різних років видання, вивчали довідникову, енциклопедичну літературу, зверталися до архівних матеріалів, спілкувалися про місцеві кургани з жителями с. Горошине. Нами було складено кущовий маршрут експедиції до курганів </w:t>
      </w:r>
      <w:r>
        <w:rPr>
          <w:rFonts w:ascii="Times New Roman" w:hAnsi="Times New Roman"/>
          <w:b/>
          <w:bCs/>
          <w:sz w:val="28"/>
          <w:szCs w:val="28"/>
        </w:rPr>
        <w:t xml:space="preserve">(Додаток </w:t>
      </w:r>
      <w:r>
        <w:rPr>
          <w:rFonts w:ascii="Times New Roman" w:hAnsi="Times New Roman"/>
          <w:b/>
          <w:bCs/>
          <w:sz w:val="28"/>
          <w:szCs w:val="28"/>
          <w:lang w:val="ru-RU"/>
        </w:rPr>
        <w:t>1</w:t>
      </w:r>
      <w:r>
        <w:rPr>
          <w:rFonts w:ascii="Times New Roman" w:hAnsi="Times New Roman"/>
          <w:b/>
          <w:bCs/>
          <w:sz w:val="28"/>
          <w:szCs w:val="28"/>
        </w:rPr>
        <w:t>).</w:t>
      </w:r>
      <w:r>
        <w:rPr>
          <w:rFonts w:ascii="Times New Roman" w:hAnsi="Times New Roman"/>
          <w:sz w:val="28"/>
          <w:szCs w:val="28"/>
        </w:rPr>
        <w:t xml:space="preserve"> Під час виїзду до них для зняття інформації ми використовували фотокамеру та додаток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Наприкінці звіту цього дослідження наведено висновки, які були сформульовані після співставлення інформації, одержаної з усіх опрацьованих джерел.</w:t>
      </w: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Результати дослідження</w:t>
      </w:r>
    </w:p>
    <w:p>
      <w:pPr>
        <w:spacing w:after="0" w:line="360" w:lineRule="auto"/>
        <w:ind w:firstLine="397"/>
        <w:jc w:val="center"/>
        <w:rPr>
          <w:rFonts w:ascii="Times New Roman" w:hAnsi="Times New Roman"/>
          <w:b/>
          <w:bCs/>
          <w:sz w:val="28"/>
          <w:szCs w:val="28"/>
        </w:rPr>
      </w:pPr>
    </w:p>
    <w:p>
      <w:pPr>
        <w:spacing w:after="0" w:line="360" w:lineRule="auto"/>
        <w:ind w:firstLine="397"/>
        <w:jc w:val="both"/>
        <w:rPr>
          <w:rFonts w:ascii="Times New Roman" w:hAnsi="Times New Roman"/>
          <w:b/>
          <w:bCs/>
          <w:sz w:val="28"/>
          <w:szCs w:val="28"/>
        </w:rPr>
      </w:pPr>
      <w:r>
        <w:rPr>
          <w:rFonts w:ascii="Times New Roman" w:hAnsi="Times New Roman"/>
          <w:sz w:val="28"/>
          <w:szCs w:val="28"/>
        </w:rPr>
        <w:t xml:space="preserve">За Енциклопедією історії України «Курган, </w:t>
      </w:r>
      <w:r>
        <w:rPr>
          <w:rFonts w:ascii="Times New Roman" w:hAnsi="Times New Roman"/>
          <w:color w:val="222222"/>
          <w:sz w:val="28"/>
          <w:szCs w:val="28"/>
          <w:shd w:val="clear" w:color="auto" w:fill="FFFFFF"/>
        </w:rPr>
        <w:t>надмогильний пагорб – споруда із землі, каміння, дерева тощо над похованням. У тюркських мовах словом «курган» означають круглу могилу; могильні: пагорб, насип; могильний будинок-укріплення». Давні кургани «широко відомі в Україні, особливо в степовій зоні, звичай їх споруджувати виник у степах Північного Причорномор'я в 4 тис. до н. е. з утвердженням тут рухливого скотарства…» На вершині насипу досить часто встановлювали антропоморфну стелу, яку в українському фольклорі, розмовній мові називали «кам'яною бабою».</w:t>
      </w:r>
    </w:p>
    <w:p>
      <w:pPr>
        <w:spacing w:after="0" w:line="360" w:lineRule="auto"/>
        <w:ind w:firstLine="397"/>
        <w:jc w:val="both"/>
        <w:rPr>
          <w:rFonts w:ascii="Times New Roman" w:hAnsi="Times New Roman"/>
          <w:sz w:val="28"/>
          <w:szCs w:val="28"/>
        </w:rPr>
      </w:pPr>
      <w:r>
        <w:rPr>
          <w:rFonts w:ascii="Times New Roman" w:hAnsi="Times New Roman"/>
          <w:sz w:val="28"/>
          <w:szCs w:val="28"/>
        </w:rPr>
        <w:t>Поблизу с. Горошине є місцевість, яку називають «Бабине». Імовірно, ця назва з</w:t>
      </w:r>
      <w:r>
        <w:rPr>
          <w:rFonts w:ascii="Times New Roman" w:hAnsi="Times New Roman"/>
          <w:sz w:val="28"/>
          <w:szCs w:val="28"/>
          <w:lang w:val="ru-RU"/>
        </w:rPr>
        <w:t>’</w:t>
      </w:r>
      <w:r>
        <w:rPr>
          <w:rFonts w:ascii="Times New Roman" w:hAnsi="Times New Roman"/>
          <w:sz w:val="28"/>
          <w:szCs w:val="28"/>
        </w:rPr>
        <w:t xml:space="preserve">явилась </w:t>
      </w:r>
      <w:r>
        <w:rPr>
          <w:rFonts w:ascii="Times New Roman" w:hAnsi="Times New Roman"/>
          <w:sz w:val="28"/>
          <w:szCs w:val="28"/>
          <w:lang w:val="ru-RU"/>
        </w:rPr>
        <w:t>саме через «кам’ян</w:t>
      </w:r>
      <w:r>
        <w:rPr>
          <w:rFonts w:ascii="Times New Roman" w:hAnsi="Times New Roman"/>
          <w:sz w:val="28"/>
          <w:szCs w:val="28"/>
        </w:rPr>
        <w:t>і баби</w:t>
      </w:r>
      <w:r>
        <w:rPr>
          <w:rFonts w:ascii="Times New Roman" w:hAnsi="Times New Roman"/>
          <w:sz w:val="28"/>
          <w:szCs w:val="28"/>
          <w:lang w:val="ru-RU"/>
        </w:rPr>
        <w:t>», як</w:t>
      </w:r>
      <w:r>
        <w:rPr>
          <w:rFonts w:ascii="Times New Roman" w:hAnsi="Times New Roman"/>
          <w:sz w:val="28"/>
          <w:szCs w:val="28"/>
        </w:rPr>
        <w:t>і були, за переказами, на курганах у цій місцевості.</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У сво</w:t>
      </w:r>
      <w:r>
        <w:rPr>
          <w:rFonts w:ascii="Times New Roman" w:hAnsi="Times New Roman"/>
          <w:sz w:val="28"/>
          <w:szCs w:val="28"/>
        </w:rPr>
        <w:t>їй праці про городища і кургани Полтавської губернії (1917 р.) Микола Макаренко згадує одну могилу (курган) в с. Горошине, 11 – на полі поблизу цього ж села, 5 – «на низькому місці». А всього в Горошинській волості він налічує понад 100 курганів.</w:t>
      </w:r>
    </w:p>
    <w:p>
      <w:pPr>
        <w:spacing w:after="0" w:line="360" w:lineRule="auto"/>
        <w:ind w:firstLine="397"/>
        <w:jc w:val="both"/>
        <w:rPr>
          <w:rFonts w:ascii="Times New Roman" w:hAnsi="Times New Roman"/>
          <w:sz w:val="28"/>
          <w:szCs w:val="28"/>
        </w:rPr>
      </w:pPr>
      <w:r>
        <w:rPr>
          <w:rFonts w:ascii="Times New Roman" w:hAnsi="Times New Roman"/>
          <w:sz w:val="28"/>
          <w:szCs w:val="28"/>
        </w:rPr>
        <w:t>Вивчаючи нинішній стан курганів, у нас неминуче постає питання про  початок їх інтенсивного руйнування. Згадку про такий період і відповідні причини знаходимо у праці дослідника історії Полтавщини Лева Падалки «Минуле Полтавської території та її заселення», репринтне видання якої здійснено 2009 року.</w:t>
      </w:r>
    </w:p>
    <w:p>
      <w:pPr>
        <w:spacing w:after="0" w:line="360" w:lineRule="auto"/>
        <w:ind w:firstLine="397"/>
        <w:jc w:val="both"/>
        <w:rPr>
          <w:rFonts w:ascii="Times New Roman" w:hAnsi="Times New Roman"/>
          <w:sz w:val="28"/>
          <w:szCs w:val="28"/>
        </w:rPr>
      </w:pPr>
      <w:r>
        <w:rPr>
          <w:rFonts w:ascii="Times New Roman" w:hAnsi="Times New Roman"/>
          <w:sz w:val="28"/>
          <w:szCs w:val="28"/>
        </w:rPr>
        <w:t>Після Люблінської унії територія нинішньої Полтавщини попала під владу Речі Посполитої. Польща тоді (</w:t>
      </w:r>
      <w:r>
        <w:rPr>
          <w:rFonts w:ascii="Times New Roman" w:hAnsi="Times New Roman"/>
          <w:sz w:val="28"/>
          <w:szCs w:val="28"/>
          <w:lang w:val="en-US"/>
        </w:rPr>
        <w:t>XVI</w:t>
      </w:r>
      <w:r>
        <w:rPr>
          <w:rFonts w:ascii="Times New Roman" w:hAnsi="Times New Roman"/>
          <w:sz w:val="28"/>
          <w:szCs w:val="28"/>
          <w:lang w:val="ru-RU"/>
        </w:rPr>
        <w:t xml:space="preserve"> – </w:t>
      </w:r>
      <w:r>
        <w:rPr>
          <w:rFonts w:ascii="Times New Roman" w:hAnsi="Times New Roman"/>
          <w:sz w:val="28"/>
          <w:szCs w:val="28"/>
          <w:lang w:val="en-US"/>
        </w:rPr>
        <w:t>XVII</w:t>
      </w:r>
      <w:r>
        <w:rPr>
          <w:rFonts w:ascii="Times New Roman" w:hAnsi="Times New Roman"/>
          <w:sz w:val="28"/>
          <w:szCs w:val="28"/>
          <w:lang w:val="ru-RU"/>
        </w:rPr>
        <w:t xml:space="preserve"> ст.</w:t>
      </w:r>
      <w:r>
        <w:rPr>
          <w:rFonts w:ascii="Times New Roman" w:hAnsi="Times New Roman"/>
          <w:sz w:val="28"/>
          <w:szCs w:val="28"/>
        </w:rPr>
        <w:t>)</w:t>
      </w:r>
      <w:r>
        <w:rPr>
          <w:rFonts w:ascii="Times New Roman" w:hAnsi="Times New Roman"/>
          <w:sz w:val="28"/>
          <w:szCs w:val="28"/>
          <w:lang w:val="ru-RU"/>
        </w:rPr>
        <w:t xml:space="preserve"> часто вела в</w:t>
      </w:r>
      <w:r>
        <w:rPr>
          <w:rFonts w:ascii="Times New Roman" w:hAnsi="Times New Roman"/>
          <w:sz w:val="28"/>
          <w:szCs w:val="28"/>
        </w:rPr>
        <w:t>ійни і потребувала пороху. Для виробництва пороху використовували селітру, яку знаходили в давніх курганах та земляних валах городищ. Тож польський королівський уряд вирішив виділити в окреме управління всі місцевості з селітряними промислами, у тому числі, й на Лівобережжі Дніпра. Л. Падалка наводить витяги з документів про захоплення селітряних промислів, зокрема, й на території нинішньої Полтавщини в 1620-х рр.</w:t>
      </w:r>
    </w:p>
    <w:p>
      <w:pPr>
        <w:spacing w:after="0" w:line="360" w:lineRule="auto"/>
        <w:ind w:firstLine="397"/>
        <w:jc w:val="both"/>
        <w:rPr>
          <w:rFonts w:ascii="Times New Roman" w:hAnsi="Times New Roman"/>
          <w:sz w:val="28"/>
          <w:szCs w:val="28"/>
        </w:rPr>
      </w:pPr>
      <w:r>
        <w:rPr>
          <w:rFonts w:ascii="Times New Roman" w:hAnsi="Times New Roman"/>
          <w:sz w:val="28"/>
          <w:szCs w:val="28"/>
        </w:rPr>
        <w:t>Крім цього, в книзі дослідника є окремий розділ про кургани-могили Полтавщини, складений за повідомленнями місцевих любителів старовини.</w:t>
      </w:r>
    </w:p>
    <w:p>
      <w:pPr>
        <w:spacing w:after="0" w:line="360" w:lineRule="auto"/>
        <w:ind w:firstLine="397"/>
        <w:jc w:val="both"/>
        <w:rPr>
          <w:rFonts w:ascii="Times New Roman" w:hAnsi="Times New Roman"/>
          <w:sz w:val="28"/>
          <w:szCs w:val="28"/>
        </w:rPr>
      </w:pPr>
      <w:r>
        <w:rPr>
          <w:rFonts w:ascii="Times New Roman" w:hAnsi="Times New Roman"/>
          <w:sz w:val="28"/>
          <w:szCs w:val="28"/>
        </w:rPr>
        <w:t>Автор класифікує кургани як могили «гострі», могили «роблені», могили «розкопані», могили «сторожові, а також «могили-майдани» і «могили-городки». Щодо Хорольського повіту, до якого на час першого видання книги (1914 р.) входило містечко Горошин, автор надає інформацію про кургани переважно зі значно віддаленої від Горошина місцевості. Виключення становить згадка однієї могили «робленої» у Старому Калкаєві. (Нині входить до складу  Оболонської територіальної громади). Також у звітній таблиці автор згадує дві могили в одній групі (містечко Горошин).</w:t>
      </w:r>
    </w:p>
    <w:p>
      <w:pPr>
        <w:spacing w:after="0" w:line="360" w:lineRule="auto"/>
        <w:ind w:firstLine="397"/>
        <w:jc w:val="both"/>
        <w:rPr>
          <w:rFonts w:ascii="Times New Roman" w:hAnsi="Times New Roman"/>
          <w:sz w:val="28"/>
          <w:szCs w:val="28"/>
        </w:rPr>
      </w:pPr>
      <w:r>
        <w:rPr>
          <w:rFonts w:ascii="Times New Roman" w:hAnsi="Times New Roman"/>
          <w:sz w:val="28"/>
          <w:szCs w:val="28"/>
        </w:rPr>
        <w:t>Перейдемо до викладу результатів нашої експедиції до курганів. Тут ми наводимо</w:t>
      </w:r>
      <w:r>
        <w:rPr>
          <w:rFonts w:ascii="Times New Roman" w:hAnsi="Times New Roman"/>
          <w:sz w:val="28"/>
          <w:szCs w:val="28"/>
          <w:lang w:val="ru-RU"/>
        </w:rPr>
        <w:t xml:space="preserve"> </w:t>
      </w:r>
      <w:r>
        <w:rPr>
          <w:rFonts w:ascii="Times New Roman" w:hAnsi="Times New Roman"/>
          <w:sz w:val="28"/>
          <w:szCs w:val="28"/>
        </w:rPr>
        <w:t>інформацію переважно про ті кургани, які не потрапили до «Зводу пам</w:t>
      </w:r>
      <w:r>
        <w:rPr>
          <w:rFonts w:ascii="Times New Roman" w:hAnsi="Times New Roman"/>
          <w:sz w:val="28"/>
          <w:szCs w:val="28"/>
          <w:lang w:val="ru-RU"/>
        </w:rPr>
        <w:t>’</w:t>
      </w:r>
      <w:r>
        <w:rPr>
          <w:rFonts w:ascii="Times New Roman" w:hAnsi="Times New Roman"/>
          <w:sz w:val="28"/>
          <w:szCs w:val="28"/>
        </w:rPr>
        <w:t>яток</w:t>
      </w:r>
      <w:r>
        <w:rPr>
          <w:rFonts w:ascii="Times New Roman" w:hAnsi="Times New Roman"/>
          <w:sz w:val="28"/>
          <w:szCs w:val="28"/>
          <w:lang w:val="ru-RU"/>
        </w:rPr>
        <w:t>» (вид. 2013 року). Головними критеріями відбору курганів для цього звіту є близька відстань до с. Горошине (не більше 6 км)</w:t>
      </w:r>
      <w:r>
        <w:rPr>
          <w:rFonts w:ascii="Times New Roman" w:hAnsi="Times New Roman"/>
          <w:sz w:val="28"/>
          <w:szCs w:val="28"/>
        </w:rPr>
        <w:t>, наявність в переліку різних курганів за станом збереженості (1 – задернований, 3 – частково зруйновані, 4 – розорюються).</w:t>
      </w:r>
    </w:p>
    <w:p>
      <w:pPr>
        <w:spacing w:after="0" w:line="360" w:lineRule="auto"/>
        <w:ind w:firstLine="397"/>
        <w:jc w:val="both"/>
        <w:rPr>
          <w:rFonts w:ascii="Times New Roman" w:hAnsi="Times New Roman"/>
          <w:sz w:val="28"/>
          <w:szCs w:val="28"/>
        </w:rPr>
      </w:pPr>
      <w:r>
        <w:rPr>
          <w:rFonts w:ascii="Times New Roman" w:hAnsi="Times New Roman"/>
          <w:b/>
          <w:bCs/>
          <w:sz w:val="28"/>
          <w:szCs w:val="28"/>
        </w:rPr>
        <w:t>Курган Могила Блохова.</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37' 46"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49</w:t>
      </w:r>
      <w:r>
        <w:rPr>
          <w:rFonts w:ascii="Times New Roman" w:hAnsi="Times New Roman"/>
          <w:sz w:val="28"/>
          <w:szCs w:val="28"/>
        </w:rPr>
        <w:t>'</w:t>
      </w:r>
      <w:r>
        <w:rPr>
          <w:rFonts w:ascii="Times New Roman" w:hAnsi="Times New Roman"/>
          <w:sz w:val="28"/>
          <w:szCs w:val="28"/>
          <w:lang w:val="ru-RU"/>
        </w:rPr>
        <w:t xml:space="preserve"> 4</w:t>
      </w:r>
      <w:r>
        <w:rPr>
          <w:rFonts w:ascii="Times New Roman" w:hAnsi="Times New Roman"/>
          <w:sz w:val="28"/>
          <w:szCs w:val="28"/>
        </w:rPr>
        <w:t>3"</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82,55 м  </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Знаходиться понад дорогою с. Горошине – с. Оболонь на відстані близько 4 – 5 км від села Горошине. </w:t>
      </w:r>
      <w:r>
        <w:rPr>
          <w:rFonts w:ascii="Times New Roman" w:hAnsi="Times New Roman"/>
          <w:sz w:val="28"/>
          <w:szCs w:val="28"/>
          <w:lang w:val="ru-RU"/>
        </w:rPr>
        <w:t xml:space="preserve">Курган має давню власну назву, з якою його згадано в документах </w:t>
      </w:r>
      <w:r>
        <w:rPr>
          <w:rFonts w:ascii="Times New Roman" w:hAnsi="Times New Roman"/>
          <w:sz w:val="28"/>
          <w:szCs w:val="28"/>
          <w:lang w:val="en-US"/>
        </w:rPr>
        <w:t>XVIII</w:t>
      </w:r>
      <w:r>
        <w:rPr>
          <w:rFonts w:ascii="Times New Roman" w:hAnsi="Times New Roman"/>
          <w:sz w:val="28"/>
          <w:szCs w:val="28"/>
        </w:rPr>
        <w:t xml:space="preserve"> </w:t>
      </w:r>
      <w:r>
        <w:rPr>
          <w:rFonts w:ascii="Times New Roman" w:hAnsi="Times New Roman"/>
          <w:sz w:val="28"/>
          <w:szCs w:val="28"/>
          <w:lang w:val="ru-RU"/>
        </w:rPr>
        <w:t xml:space="preserve">ст. </w:t>
      </w:r>
      <w:r>
        <w:rPr>
          <w:rFonts w:ascii="Times New Roman" w:hAnsi="Times New Roman"/>
          <w:sz w:val="28"/>
          <w:szCs w:val="28"/>
        </w:rPr>
        <w:t>Під час нашої експедиції було виявлено руйнування кургану.</w:t>
      </w:r>
      <w:r>
        <w:rPr>
          <w:rFonts w:ascii="Times New Roman" w:hAnsi="Times New Roman"/>
          <w:sz w:val="28"/>
          <w:szCs w:val="28"/>
          <w:lang w:val="ru-RU"/>
        </w:rPr>
        <w:t xml:space="preserve"> </w:t>
      </w:r>
      <w:r>
        <w:rPr>
          <w:rFonts w:ascii="Times New Roman" w:hAnsi="Times New Roman"/>
          <w:b/>
          <w:bCs/>
          <w:sz w:val="28"/>
          <w:szCs w:val="28"/>
        </w:rPr>
        <w:t>(Додатки 2 і 3</w:t>
      </w:r>
      <w:r>
        <w:rPr>
          <w:rFonts w:ascii="Times New Roman" w:hAnsi="Times New Roman"/>
          <w:b/>
          <w:bCs/>
          <w:sz w:val="28"/>
          <w:szCs w:val="28"/>
          <w:lang w:val="ru-RU"/>
        </w:rPr>
        <w:t>).</w:t>
      </w:r>
      <w:r>
        <w:rPr>
          <w:rFonts w:ascii="Times New Roman" w:hAnsi="Times New Roman"/>
          <w:sz w:val="28"/>
          <w:szCs w:val="28"/>
        </w:rPr>
        <w:t xml:space="preserve"> </w:t>
      </w:r>
    </w:p>
    <w:p>
      <w:pPr>
        <w:spacing w:after="0" w:line="360" w:lineRule="auto"/>
        <w:ind w:firstLine="397"/>
        <w:jc w:val="both"/>
        <w:rPr>
          <w:rFonts w:ascii="Times New Roman" w:hAnsi="Times New Roman"/>
          <w:sz w:val="28"/>
          <w:szCs w:val="28"/>
        </w:rPr>
      </w:pPr>
      <w:r>
        <w:rPr>
          <w:rFonts w:ascii="Times New Roman" w:hAnsi="Times New Roman"/>
          <w:sz w:val="28"/>
          <w:szCs w:val="28"/>
        </w:rPr>
        <w:t>Через те, що залишки кургану поросли чагарниками, ускладнюється визначення його початкових розмірів. Площа зарослої території понад 4000 кв. м.</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rPr>
        <w:t xml:space="preserve">Після додаткового опрацювання картографічних матеріалів, зокрема,  топографічної карти 1931 р. М-36-90-Б (Оболонь) масштабу 1:50000, виявлено, що станом на 1931 р. тут була група з двох курганів та кладовище. Більший курган на карті позначений з відносною висотою + 4,0 м, а менший – з відносною висотою + 0,5 м. Менший знаходився дещо західніше від більшого на відстані близько 300 м. </w:t>
      </w:r>
      <w:r>
        <w:rPr>
          <w:rFonts w:ascii="Times New Roman" w:hAnsi="Times New Roman"/>
          <w:b/>
          <w:bCs/>
          <w:sz w:val="28"/>
          <w:szCs w:val="28"/>
        </w:rPr>
        <w:t>(Додаток 4).</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На карт</w:t>
      </w:r>
      <w:r>
        <w:rPr>
          <w:rFonts w:ascii="Times New Roman" w:hAnsi="Times New Roman"/>
          <w:sz w:val="28"/>
          <w:szCs w:val="28"/>
        </w:rPr>
        <w:t>і 1987 р. М-36-90 (Оболонь) масштабу 1:100000 курган (у складі групи з 2 курганів) позначено з абсолютною висотою 88,7 м.</w:t>
      </w:r>
    </w:p>
    <w:p>
      <w:pPr>
        <w:spacing w:after="0" w:line="360" w:lineRule="auto"/>
        <w:ind w:firstLine="397"/>
        <w:jc w:val="both"/>
        <w:rPr>
          <w:rFonts w:ascii="Times New Roman" w:hAnsi="Times New Roman"/>
          <w:b/>
          <w:bCs/>
          <w:sz w:val="28"/>
          <w:szCs w:val="28"/>
          <w:lang w:val="ru-RU"/>
        </w:rPr>
      </w:pPr>
      <w:r>
        <w:rPr>
          <w:rFonts w:ascii="Times New Roman" w:hAnsi="Times New Roman"/>
          <w:b/>
          <w:bCs/>
          <w:sz w:val="28"/>
          <w:szCs w:val="28"/>
          <w:lang w:val="ru-RU"/>
        </w:rPr>
        <w:t>Група курганів зліва від шляху с. Горошине – с. Тукали.</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Три кургани групи позначені на карті 1931 р. з в</w:t>
      </w:r>
      <w:r>
        <w:rPr>
          <w:rFonts w:ascii="Times New Roman" w:hAnsi="Times New Roman"/>
          <w:sz w:val="28"/>
          <w:szCs w:val="28"/>
        </w:rPr>
        <w:t xml:space="preserve">ідносними висотами +2,0; +1,0; +2,0 м. відповідно. </w:t>
      </w:r>
      <w:r>
        <w:rPr>
          <w:rFonts w:ascii="Times New Roman" w:hAnsi="Times New Roman"/>
          <w:b/>
          <w:bCs/>
          <w:sz w:val="28"/>
          <w:szCs w:val="28"/>
        </w:rPr>
        <w:t>(Додаток 5).</w:t>
      </w:r>
    </w:p>
    <w:p>
      <w:pPr>
        <w:spacing w:after="0" w:line="360" w:lineRule="auto"/>
        <w:ind w:firstLine="397"/>
        <w:jc w:val="both"/>
        <w:rPr>
          <w:rFonts w:ascii="Times New Roman" w:hAnsi="Times New Roman"/>
          <w:b/>
          <w:bCs/>
          <w:sz w:val="28"/>
          <w:szCs w:val="28"/>
          <w:lang w:val="ru-RU"/>
        </w:rPr>
      </w:pPr>
      <w:r>
        <w:rPr>
          <w:rFonts w:ascii="Times New Roman" w:hAnsi="Times New Roman"/>
          <w:b/>
          <w:bCs/>
          <w:sz w:val="28"/>
          <w:szCs w:val="28"/>
          <w:lang w:val="ru-RU"/>
        </w:rPr>
        <w:t>1 курган групи.</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39' 54"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6'</w:t>
      </w:r>
      <w:r>
        <w:rPr>
          <w:rFonts w:ascii="Times New Roman" w:hAnsi="Times New Roman"/>
          <w:sz w:val="28"/>
          <w:szCs w:val="28"/>
          <w:lang w:val="ru-RU"/>
        </w:rPr>
        <w:t xml:space="preserve"> 4</w:t>
      </w:r>
      <w:r>
        <w:rPr>
          <w:rFonts w:ascii="Times New Roman" w:hAnsi="Times New Roman"/>
          <w:sz w:val="28"/>
          <w:szCs w:val="28"/>
        </w:rPr>
        <w:t>5"</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89,08 м</w:t>
      </w:r>
    </w:p>
    <w:p>
      <w:pPr>
        <w:spacing w:after="0" w:line="360" w:lineRule="auto"/>
        <w:ind w:firstLine="397"/>
        <w:jc w:val="both"/>
        <w:rPr>
          <w:rFonts w:ascii="Times New Roman" w:hAnsi="Times New Roman"/>
          <w:sz w:val="28"/>
          <w:szCs w:val="28"/>
        </w:rPr>
      </w:pPr>
      <w:r>
        <w:rPr>
          <w:rFonts w:ascii="Times New Roman" w:hAnsi="Times New Roman"/>
          <w:sz w:val="28"/>
          <w:szCs w:val="28"/>
        </w:rPr>
        <w:t>Пам</w:t>
      </w:r>
      <w:r>
        <w:rPr>
          <w:rFonts w:ascii="Times New Roman" w:hAnsi="Times New Roman"/>
          <w:sz w:val="28"/>
          <w:szCs w:val="28"/>
          <w:lang w:val="ru-RU"/>
        </w:rPr>
        <w:t>’</w:t>
      </w:r>
      <w:r>
        <w:rPr>
          <w:rFonts w:ascii="Times New Roman" w:hAnsi="Times New Roman"/>
          <w:sz w:val="28"/>
          <w:szCs w:val="28"/>
        </w:rPr>
        <w:t>ятка знаходиться на відстані</w:t>
      </w:r>
      <w:r>
        <w:rPr>
          <w:rFonts w:ascii="Times New Roman" w:hAnsi="Times New Roman"/>
          <w:sz w:val="28"/>
          <w:szCs w:val="28"/>
          <w:lang w:val="ru-RU"/>
        </w:rPr>
        <w:t xml:space="preserve"> менше 1 км в</w:t>
      </w:r>
      <w:r>
        <w:rPr>
          <w:rFonts w:ascii="Times New Roman" w:hAnsi="Times New Roman"/>
          <w:sz w:val="28"/>
          <w:szCs w:val="28"/>
        </w:rPr>
        <w:t>ід с. Горошине в напрямку на село Тукали та близько 100 м від автомобільної дороги.</w:t>
      </w:r>
      <w:r>
        <w:rPr>
          <w:rFonts w:ascii="Times New Roman" w:hAnsi="Times New Roman"/>
          <w:sz w:val="28"/>
          <w:szCs w:val="28"/>
          <w:lang w:val="ru-RU"/>
        </w:rPr>
        <w:t xml:space="preserve"> </w:t>
      </w:r>
      <w:r>
        <w:rPr>
          <w:rFonts w:ascii="Times New Roman" w:hAnsi="Times New Roman"/>
          <w:sz w:val="28"/>
          <w:szCs w:val="28"/>
        </w:rPr>
        <w:t>Курган розороюється.</w:t>
      </w: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2 курган групи.</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40' 03"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6'</w:t>
      </w:r>
      <w:r>
        <w:rPr>
          <w:rFonts w:ascii="Times New Roman" w:hAnsi="Times New Roman"/>
          <w:sz w:val="28"/>
          <w:szCs w:val="28"/>
          <w:lang w:val="ru-RU"/>
        </w:rPr>
        <w:t xml:space="preserve"> </w:t>
      </w:r>
      <w:r>
        <w:rPr>
          <w:rFonts w:ascii="Times New Roman" w:hAnsi="Times New Roman"/>
          <w:sz w:val="28"/>
          <w:szCs w:val="28"/>
        </w:rPr>
        <w:t>59"</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87,07 м</w:t>
      </w:r>
    </w:p>
    <w:p>
      <w:pPr>
        <w:spacing w:after="0" w:line="360" w:lineRule="auto"/>
        <w:ind w:firstLine="397"/>
        <w:jc w:val="both"/>
        <w:rPr>
          <w:rFonts w:ascii="Times New Roman" w:hAnsi="Times New Roman"/>
          <w:i/>
          <w:iCs/>
          <w:sz w:val="28"/>
          <w:szCs w:val="28"/>
        </w:rPr>
      </w:pPr>
      <w:r>
        <w:rPr>
          <w:rFonts w:ascii="Times New Roman" w:hAnsi="Times New Roman"/>
          <w:sz w:val="28"/>
          <w:szCs w:val="28"/>
        </w:rPr>
        <w:t xml:space="preserve">Курган розороюється. </w:t>
      </w:r>
      <w:r>
        <w:rPr>
          <w:rFonts w:ascii="Times New Roman" w:hAnsi="Times New Roman"/>
          <w:b/>
          <w:bCs/>
          <w:sz w:val="28"/>
          <w:szCs w:val="28"/>
        </w:rPr>
        <w:t>(Додаток 6).</w:t>
      </w: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3 курган групи (Смагліївська могила).</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40' 07"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7'</w:t>
      </w:r>
      <w:r>
        <w:rPr>
          <w:rFonts w:ascii="Times New Roman" w:hAnsi="Times New Roman"/>
          <w:sz w:val="28"/>
          <w:szCs w:val="28"/>
          <w:lang w:val="ru-RU"/>
        </w:rPr>
        <w:t xml:space="preserve"> </w:t>
      </w:r>
      <w:r>
        <w:rPr>
          <w:rFonts w:ascii="Times New Roman" w:hAnsi="Times New Roman"/>
          <w:sz w:val="28"/>
          <w:szCs w:val="28"/>
        </w:rPr>
        <w:t>03"</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85,87 м</w:t>
      </w:r>
    </w:p>
    <w:p>
      <w:pPr>
        <w:spacing w:after="0" w:line="360" w:lineRule="auto"/>
        <w:ind w:firstLine="397"/>
        <w:jc w:val="both"/>
        <w:rPr>
          <w:rFonts w:ascii="Times New Roman" w:hAnsi="Times New Roman"/>
          <w:b/>
          <w:bCs/>
          <w:sz w:val="28"/>
          <w:szCs w:val="28"/>
        </w:rPr>
      </w:pPr>
      <w:r>
        <w:rPr>
          <w:rFonts w:ascii="Times New Roman" w:hAnsi="Times New Roman"/>
          <w:sz w:val="28"/>
          <w:szCs w:val="28"/>
        </w:rPr>
        <w:t xml:space="preserve">Курган задернований. На вершині встановлено 6 металевих хрестів. Хрести пофарбовано синім кольором. На хрестах є таблички без напису. Хрести, ймовірно, ХХ століття. Очевидно, це випадок, коли в давні кургани додавали нові поховання. </w:t>
      </w:r>
      <w:r>
        <w:rPr>
          <w:rFonts w:ascii="Times New Roman" w:hAnsi="Times New Roman"/>
          <w:b/>
          <w:bCs/>
          <w:sz w:val="28"/>
          <w:szCs w:val="28"/>
        </w:rPr>
        <w:t>(Додатки 7 і 8).</w:t>
      </w:r>
    </w:p>
    <w:p>
      <w:pPr>
        <w:spacing w:after="0" w:line="360" w:lineRule="auto"/>
        <w:ind w:firstLine="397"/>
        <w:jc w:val="both"/>
        <w:rPr>
          <w:rFonts w:ascii="Times New Roman" w:hAnsi="Times New Roman"/>
          <w:b/>
          <w:bCs/>
          <w:sz w:val="28"/>
          <w:szCs w:val="28"/>
          <w:lang w:val="ru-RU"/>
        </w:rPr>
      </w:pPr>
      <w:r>
        <w:rPr>
          <w:rFonts w:ascii="Times New Roman" w:hAnsi="Times New Roman"/>
          <w:b/>
          <w:bCs/>
          <w:sz w:val="28"/>
          <w:szCs w:val="28"/>
          <w:lang w:val="ru-RU"/>
        </w:rPr>
        <w:t>Курган справа від шляху с. Горошине – с. Тукали.</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 (знято не з найвищої точки кургану):</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39' 47"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6'</w:t>
      </w:r>
      <w:r>
        <w:rPr>
          <w:rFonts w:ascii="Times New Roman" w:hAnsi="Times New Roman"/>
          <w:sz w:val="28"/>
          <w:szCs w:val="28"/>
          <w:lang w:val="ru-RU"/>
        </w:rPr>
        <w:t xml:space="preserve"> </w:t>
      </w:r>
      <w:r>
        <w:rPr>
          <w:rFonts w:ascii="Times New Roman" w:hAnsi="Times New Roman"/>
          <w:sz w:val="28"/>
          <w:szCs w:val="28"/>
        </w:rPr>
        <w:t>39"</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89,08 м</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Знаходиться на околиці с. Горошине на сільському кладовищі (на Замості).</w:t>
      </w:r>
    </w:p>
    <w:p>
      <w:pPr>
        <w:spacing w:after="0" w:line="360" w:lineRule="auto"/>
        <w:ind w:firstLine="397"/>
        <w:jc w:val="both"/>
        <w:rPr>
          <w:rFonts w:ascii="Times New Roman" w:hAnsi="Times New Roman"/>
          <w:sz w:val="28"/>
          <w:szCs w:val="28"/>
        </w:rPr>
      </w:pPr>
      <w:r>
        <w:rPr>
          <w:rFonts w:ascii="Times New Roman" w:hAnsi="Times New Roman"/>
          <w:sz w:val="28"/>
          <w:szCs w:val="28"/>
        </w:rPr>
        <w:t>Курган частково зруйновано. За переказами місцевих жителів з нього брали землю для будівельних потреб.</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rPr>
        <w:t xml:space="preserve">На кургані встановлено геодезичний знак. </w:t>
      </w:r>
      <w:r>
        <w:rPr>
          <w:rFonts w:ascii="Times New Roman" w:hAnsi="Times New Roman"/>
          <w:b/>
          <w:bCs/>
          <w:sz w:val="28"/>
          <w:szCs w:val="28"/>
        </w:rPr>
        <w:t>(Додаток 9).</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На топограф</w:t>
      </w:r>
      <w:r>
        <w:rPr>
          <w:rFonts w:ascii="Times New Roman" w:hAnsi="Times New Roman"/>
          <w:sz w:val="28"/>
          <w:szCs w:val="28"/>
        </w:rPr>
        <w:t xml:space="preserve">ічній </w:t>
      </w:r>
      <w:r>
        <w:rPr>
          <w:rFonts w:ascii="Times New Roman" w:hAnsi="Times New Roman"/>
          <w:sz w:val="28"/>
          <w:szCs w:val="28"/>
          <w:lang w:val="ru-RU"/>
        </w:rPr>
        <w:t xml:space="preserve">карті 1931 р. цей курган позначено з відносною висотою +5,0 м та абсолютною 96,1 м, а на карті 1987 р. – 95,6 м. </w:t>
      </w:r>
      <w:r>
        <w:rPr>
          <w:rFonts w:ascii="Times New Roman" w:hAnsi="Times New Roman"/>
          <w:b/>
          <w:bCs/>
          <w:sz w:val="28"/>
          <w:szCs w:val="28"/>
          <w:lang w:val="ru-RU"/>
        </w:rPr>
        <w:t>(Додаток 5).</w:t>
      </w: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 xml:space="preserve">Група   курганів,  </w:t>
      </w:r>
      <w:r>
        <w:rPr>
          <w:rFonts w:ascii="Times New Roman" w:hAnsi="Times New Roman"/>
          <w:i/>
          <w:iCs/>
          <w:sz w:val="28"/>
          <w:szCs w:val="28"/>
        </w:rPr>
        <w:t xml:space="preserve"> </w:t>
      </w:r>
      <w:r>
        <w:rPr>
          <w:rFonts w:ascii="Times New Roman" w:hAnsi="Times New Roman"/>
          <w:b/>
          <w:bCs/>
          <w:sz w:val="28"/>
          <w:szCs w:val="28"/>
        </w:rPr>
        <w:t>що  знаходиться  зліва  від  дороги  с.  Горошине  –  с. Мирони.</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Групу з 2-х курганів позначено на топографічній карті 1987 р. масштабу 1:100000 зліва від дороги на с. Мирони. </w:t>
      </w:r>
      <w:r>
        <w:rPr>
          <w:rFonts w:ascii="Times New Roman" w:hAnsi="Times New Roman"/>
          <w:b/>
          <w:bCs/>
          <w:sz w:val="28"/>
          <w:szCs w:val="28"/>
        </w:rPr>
        <w:t>(Додаток 10).</w:t>
      </w:r>
    </w:p>
    <w:p>
      <w:pPr>
        <w:spacing w:after="0" w:line="360" w:lineRule="auto"/>
        <w:ind w:firstLine="397"/>
        <w:jc w:val="both"/>
        <w:rPr>
          <w:rFonts w:ascii="Times New Roman" w:hAnsi="Times New Roman"/>
          <w:b/>
          <w:bCs/>
          <w:sz w:val="28"/>
          <w:szCs w:val="28"/>
          <w:lang w:val="ru-RU"/>
        </w:rPr>
      </w:pPr>
      <w:r>
        <w:rPr>
          <w:rFonts w:ascii="Times New Roman" w:hAnsi="Times New Roman"/>
          <w:b/>
          <w:bCs/>
          <w:sz w:val="28"/>
          <w:szCs w:val="28"/>
          <w:lang w:val="ru-RU"/>
        </w:rPr>
        <w:t>1 курган групи.</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39' 00"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5'</w:t>
      </w:r>
      <w:r>
        <w:rPr>
          <w:rFonts w:ascii="Times New Roman" w:hAnsi="Times New Roman"/>
          <w:sz w:val="28"/>
          <w:szCs w:val="28"/>
          <w:lang w:val="ru-RU"/>
        </w:rPr>
        <w:t xml:space="preserve"> </w:t>
      </w:r>
      <w:r>
        <w:rPr>
          <w:rFonts w:ascii="Times New Roman" w:hAnsi="Times New Roman"/>
          <w:sz w:val="28"/>
          <w:szCs w:val="28"/>
        </w:rPr>
        <w:t>51"</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86,91 м</w:t>
      </w:r>
    </w:p>
    <w:p>
      <w:pPr>
        <w:spacing w:after="0" w:line="360" w:lineRule="auto"/>
        <w:ind w:firstLine="397"/>
        <w:jc w:val="both"/>
        <w:rPr>
          <w:rFonts w:ascii="Times New Roman" w:hAnsi="Times New Roman"/>
          <w:sz w:val="28"/>
          <w:szCs w:val="28"/>
        </w:rPr>
      </w:pPr>
      <w:r>
        <w:rPr>
          <w:rFonts w:ascii="Times New Roman" w:hAnsi="Times New Roman"/>
          <w:sz w:val="28"/>
          <w:szCs w:val="28"/>
        </w:rPr>
        <w:t>Знаходиться на околиці с. Горошине. Курган розорюється.</w:t>
      </w:r>
    </w:p>
    <w:p>
      <w:pPr>
        <w:spacing w:after="0" w:line="360" w:lineRule="auto"/>
        <w:ind w:firstLine="397"/>
        <w:jc w:val="both"/>
        <w:rPr>
          <w:rFonts w:ascii="Times New Roman" w:hAnsi="Times New Roman"/>
          <w:sz w:val="28"/>
          <w:szCs w:val="28"/>
        </w:rPr>
      </w:pPr>
      <w:r>
        <w:rPr>
          <w:rFonts w:ascii="Times New Roman" w:hAnsi="Times New Roman"/>
          <w:sz w:val="28"/>
          <w:szCs w:val="28"/>
        </w:rPr>
        <w:t>На відстані близько 100 м від нього в південному напрямку знаходяться залишки 2-го кургану групи.</w:t>
      </w: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2 курган групи (залишки).</w:t>
      </w:r>
    </w:p>
    <w:p>
      <w:pPr>
        <w:spacing w:after="0" w:line="360" w:lineRule="auto"/>
        <w:ind w:firstLine="397"/>
        <w:jc w:val="both"/>
        <w:rPr>
          <w:rFonts w:ascii="Times New Roman" w:hAnsi="Times New Roman"/>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38' 55"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5'</w:t>
      </w:r>
      <w:r>
        <w:rPr>
          <w:rFonts w:ascii="Times New Roman" w:hAnsi="Times New Roman"/>
          <w:sz w:val="28"/>
          <w:szCs w:val="28"/>
          <w:lang w:val="ru-RU"/>
        </w:rPr>
        <w:t xml:space="preserve"> </w:t>
      </w:r>
      <w:r>
        <w:rPr>
          <w:rFonts w:ascii="Times New Roman" w:hAnsi="Times New Roman"/>
          <w:sz w:val="28"/>
          <w:szCs w:val="28"/>
        </w:rPr>
        <w:t>51"</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86,08 м</w:t>
      </w:r>
    </w:p>
    <w:p>
      <w:pPr>
        <w:spacing w:after="0" w:line="360" w:lineRule="auto"/>
        <w:ind w:firstLine="397"/>
        <w:jc w:val="both"/>
        <w:rPr>
          <w:rFonts w:ascii="Times New Roman" w:hAnsi="Times New Roman"/>
          <w:sz w:val="28"/>
          <w:szCs w:val="28"/>
        </w:rPr>
      </w:pPr>
      <w:r>
        <w:rPr>
          <w:rFonts w:ascii="Times New Roman" w:hAnsi="Times New Roman"/>
          <w:sz w:val="28"/>
          <w:szCs w:val="28"/>
        </w:rPr>
        <w:t>Східна частина кургану збереглась. На схід від неї – поле. Західна частина кургану знищена: тут знаходиться кар</w:t>
      </w:r>
      <w:r>
        <w:rPr>
          <w:rFonts w:ascii="Times New Roman" w:hAnsi="Times New Roman"/>
          <w:sz w:val="28"/>
          <w:szCs w:val="28"/>
          <w:lang w:val="ru-RU"/>
        </w:rPr>
        <w:t>’</w:t>
      </w:r>
      <w:r>
        <w:rPr>
          <w:rFonts w:ascii="Times New Roman" w:hAnsi="Times New Roman"/>
          <w:sz w:val="28"/>
          <w:szCs w:val="28"/>
        </w:rPr>
        <w:t>єр</w:t>
      </w:r>
      <w:r>
        <w:rPr>
          <w:rFonts w:ascii="Times New Roman" w:hAnsi="Times New Roman"/>
          <w:sz w:val="28"/>
          <w:szCs w:val="28"/>
          <w:lang w:val="ru-RU"/>
        </w:rPr>
        <w:t>, що зар</w:t>
      </w:r>
      <w:r>
        <w:rPr>
          <w:rFonts w:ascii="Times New Roman" w:hAnsi="Times New Roman"/>
          <w:sz w:val="28"/>
          <w:szCs w:val="28"/>
        </w:rPr>
        <w:t xml:space="preserve">іс березами та іншою рослинністю. </w:t>
      </w:r>
      <w:r>
        <w:rPr>
          <w:rFonts w:ascii="Times New Roman" w:hAnsi="Times New Roman"/>
          <w:b/>
          <w:bCs/>
          <w:sz w:val="28"/>
          <w:szCs w:val="28"/>
        </w:rPr>
        <w:t>(Додаток 11).</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rPr>
        <w:t>На карті 1931 р. М-36-90-Б (Оболонь) масштабу 1:50000 зображено 1 курган групи з відносною висотою + 2,0 м, а на місці нинішнього кар</w:t>
      </w:r>
      <w:r>
        <w:rPr>
          <w:rFonts w:ascii="Times New Roman" w:hAnsi="Times New Roman"/>
          <w:sz w:val="28"/>
          <w:szCs w:val="28"/>
          <w:lang w:val="ru-RU"/>
        </w:rPr>
        <w:t>’</w:t>
      </w:r>
      <w:r>
        <w:rPr>
          <w:rFonts w:ascii="Times New Roman" w:hAnsi="Times New Roman"/>
          <w:sz w:val="28"/>
          <w:szCs w:val="28"/>
        </w:rPr>
        <w:t>єру – яр (–2,0 м).</w:t>
      </w:r>
    </w:p>
    <w:p>
      <w:pPr>
        <w:spacing w:after="0" w:line="360" w:lineRule="auto"/>
        <w:ind w:firstLine="397"/>
        <w:jc w:val="both"/>
        <w:rPr>
          <w:rFonts w:ascii="Times New Roman" w:hAnsi="Times New Roman"/>
          <w:b/>
          <w:bCs/>
          <w:sz w:val="28"/>
          <w:szCs w:val="28"/>
        </w:rPr>
      </w:pPr>
      <w:r>
        <w:rPr>
          <w:rFonts w:ascii="Times New Roman" w:hAnsi="Times New Roman"/>
          <w:b/>
          <w:bCs/>
          <w:sz w:val="28"/>
          <w:szCs w:val="28"/>
        </w:rPr>
        <w:t xml:space="preserve">Курган понад дорогою с. Горошине – с. Гаївка (справа в полі). </w:t>
      </w:r>
    </w:p>
    <w:p>
      <w:pPr>
        <w:spacing w:after="0" w:line="360" w:lineRule="auto"/>
        <w:ind w:firstLine="397"/>
        <w:jc w:val="both"/>
        <w:rPr>
          <w:rFonts w:ascii="Times New Roman" w:hAnsi="Times New Roman"/>
          <w:b/>
          <w:bCs/>
          <w:sz w:val="28"/>
          <w:szCs w:val="28"/>
        </w:rPr>
      </w:pPr>
      <w:r>
        <w:rPr>
          <w:rFonts w:ascii="Times New Roman" w:hAnsi="Times New Roman"/>
          <w:sz w:val="28"/>
          <w:szCs w:val="28"/>
        </w:rPr>
        <w:t>Географічні координати</w:t>
      </w:r>
      <w:r>
        <w:rPr>
          <w:rFonts w:ascii="Times New Roman" w:hAnsi="Times New Roman"/>
          <w:sz w:val="28"/>
          <w:szCs w:val="28"/>
          <w:lang w:val="ru-RU"/>
        </w:rPr>
        <w:t xml:space="preserve"> та висота за даними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49º 40' 42" </w:t>
      </w:r>
      <w:r>
        <w:rPr>
          <w:rFonts w:ascii="Times New Roman" w:hAnsi="Times New Roman"/>
          <w:sz w:val="28"/>
          <w:szCs w:val="28"/>
          <w:lang w:val="en-US"/>
        </w:rPr>
        <w:t>N</w:t>
      </w:r>
      <w:r>
        <w:rPr>
          <w:rFonts w:ascii="Times New Roman" w:hAnsi="Times New Roman"/>
          <w:sz w:val="28"/>
          <w:szCs w:val="28"/>
          <w:lang w:val="ru-RU"/>
        </w:rPr>
        <w:t xml:space="preserve"> </w:t>
      </w:r>
      <w:r>
        <w:rPr>
          <w:rFonts w:ascii="Times New Roman" w:hAnsi="Times New Roman"/>
          <w:sz w:val="28"/>
          <w:szCs w:val="28"/>
        </w:rPr>
        <w:t xml:space="preserve">     </w:t>
      </w:r>
      <w:r>
        <w:rPr>
          <w:rFonts w:ascii="Times New Roman" w:hAnsi="Times New Roman"/>
          <w:sz w:val="28"/>
          <w:szCs w:val="28"/>
          <w:lang w:val="ru-RU"/>
        </w:rPr>
        <w:t>32</w:t>
      </w:r>
      <w:r>
        <w:rPr>
          <w:rFonts w:ascii="Times New Roman" w:hAnsi="Times New Roman"/>
          <w:sz w:val="28"/>
          <w:szCs w:val="28"/>
        </w:rPr>
        <w:t>º</w:t>
      </w:r>
      <w:r>
        <w:rPr>
          <w:rFonts w:ascii="Times New Roman" w:hAnsi="Times New Roman"/>
          <w:sz w:val="28"/>
          <w:szCs w:val="28"/>
          <w:lang w:val="ru-RU"/>
        </w:rPr>
        <w:t xml:space="preserve"> 4</w:t>
      </w:r>
      <w:r>
        <w:rPr>
          <w:rFonts w:ascii="Times New Roman" w:hAnsi="Times New Roman"/>
          <w:sz w:val="28"/>
          <w:szCs w:val="28"/>
        </w:rPr>
        <w:t>4'</w:t>
      </w:r>
      <w:r>
        <w:rPr>
          <w:rFonts w:ascii="Times New Roman" w:hAnsi="Times New Roman"/>
          <w:sz w:val="28"/>
          <w:szCs w:val="28"/>
          <w:lang w:val="ru-RU"/>
        </w:rPr>
        <w:t xml:space="preserve"> </w:t>
      </w:r>
      <w:r>
        <w:rPr>
          <w:rFonts w:ascii="Times New Roman" w:hAnsi="Times New Roman"/>
          <w:sz w:val="28"/>
          <w:szCs w:val="28"/>
        </w:rPr>
        <w:t>57"</w:t>
      </w:r>
      <w:r>
        <w:rPr>
          <w:rFonts w:ascii="Times New Roman" w:hAnsi="Times New Roman"/>
          <w:sz w:val="28"/>
          <w:szCs w:val="28"/>
          <w:lang w:val="ru-RU"/>
        </w:rPr>
        <w:t xml:space="preserve"> </w:t>
      </w:r>
      <w:r>
        <w:rPr>
          <w:rFonts w:ascii="Times New Roman" w:hAnsi="Times New Roman"/>
          <w:sz w:val="28"/>
          <w:szCs w:val="28"/>
          <w:lang w:val="en-US"/>
        </w:rPr>
        <w:t>E</w:t>
      </w:r>
      <w:r>
        <w:rPr>
          <w:rFonts w:ascii="Times New Roman" w:hAnsi="Times New Roman"/>
          <w:sz w:val="28"/>
          <w:szCs w:val="28"/>
        </w:rPr>
        <w:t xml:space="preserve">      86,67 м</w:t>
      </w:r>
    </w:p>
    <w:p>
      <w:pPr>
        <w:spacing w:after="0" w:line="360" w:lineRule="auto"/>
        <w:ind w:firstLine="397"/>
        <w:jc w:val="both"/>
        <w:rPr>
          <w:rFonts w:ascii="Times New Roman" w:hAnsi="Times New Roman"/>
          <w:sz w:val="28"/>
          <w:szCs w:val="28"/>
        </w:rPr>
      </w:pPr>
      <w:r>
        <w:rPr>
          <w:rFonts w:ascii="Times New Roman" w:hAnsi="Times New Roman"/>
          <w:sz w:val="28"/>
          <w:szCs w:val="28"/>
        </w:rPr>
        <w:t>Знаходиться неподалік високовольтної лінії електропередач. На карті 1987 р. тут позначено групу з 2-х курганів.</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Курган розорюється. </w:t>
      </w:r>
      <w:r>
        <w:rPr>
          <w:rFonts w:ascii="Times New Roman" w:hAnsi="Times New Roman"/>
          <w:b/>
          <w:bCs/>
          <w:sz w:val="28"/>
          <w:szCs w:val="28"/>
        </w:rPr>
        <w:t>(Додаток 12).</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До якого ж історичного періоду слід віднести появу курганів у нашій місцевості? Який тип археологічної культури засвідчують поховання в курганах? На ці питання можна дати відповіді, маючи результати археологічних розвідок, археологічних розкопок. Проте, в археології  використовуються також новітні інструменти, за допомогою яких можна </w:t>
      </w:r>
      <w:r>
        <w:rPr>
          <w:rFonts w:ascii="Times New Roman" w:hAnsi="Times New Roman"/>
          <w:sz w:val="28"/>
          <w:szCs w:val="28"/>
          <w:lang w:val="ru-RU"/>
        </w:rPr>
        <w:t>досл</w:t>
      </w:r>
      <w:r>
        <w:rPr>
          <w:rFonts w:ascii="Times New Roman" w:hAnsi="Times New Roman"/>
          <w:sz w:val="28"/>
          <w:szCs w:val="28"/>
        </w:rPr>
        <w:t>іджувати пам</w:t>
      </w:r>
      <w:r>
        <w:rPr>
          <w:rFonts w:ascii="Times New Roman" w:hAnsi="Times New Roman"/>
          <w:sz w:val="28"/>
          <w:szCs w:val="28"/>
          <w:lang w:val="en-US"/>
        </w:rPr>
        <w:t>’</w:t>
      </w:r>
      <w:r>
        <w:rPr>
          <w:rFonts w:ascii="Times New Roman" w:hAnsi="Times New Roman"/>
          <w:sz w:val="28"/>
          <w:szCs w:val="28"/>
        </w:rPr>
        <w:t>ятку без її руйнування</w:t>
      </w:r>
      <w:r>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sz w:val="28"/>
          <w:szCs w:val="28"/>
          <w:lang w:val="ru-RU"/>
        </w:rPr>
        <w:t>Ц</w:t>
      </w:r>
      <w:r>
        <w:rPr>
          <w:rFonts w:ascii="Times New Roman" w:hAnsi="Times New Roman"/>
          <w:sz w:val="28"/>
          <w:szCs w:val="28"/>
        </w:rPr>
        <w:t>е стосується</w:t>
      </w:r>
      <w:r>
        <w:rPr>
          <w:rFonts w:ascii="Times New Roman" w:hAnsi="Times New Roman"/>
          <w:sz w:val="28"/>
          <w:szCs w:val="28"/>
          <w:lang w:val="ru-RU"/>
        </w:rPr>
        <w:t>, наприклад,</w:t>
      </w:r>
      <w:r>
        <w:rPr>
          <w:rFonts w:ascii="Times New Roman" w:hAnsi="Times New Roman"/>
          <w:sz w:val="28"/>
          <w:szCs w:val="28"/>
        </w:rPr>
        <w:t xml:space="preserve"> майданів, які обстежують за допомогою геомагнітного сканування.</w:t>
      </w:r>
    </w:p>
    <w:p>
      <w:pPr>
        <w:spacing w:after="0" w:line="360" w:lineRule="auto"/>
        <w:ind w:firstLine="397"/>
        <w:jc w:val="both"/>
        <w:rPr>
          <w:rFonts w:ascii="Times New Roman" w:hAnsi="Times New Roman"/>
          <w:sz w:val="28"/>
          <w:szCs w:val="28"/>
        </w:rPr>
      </w:pPr>
      <w:r>
        <w:rPr>
          <w:rFonts w:ascii="Times New Roman" w:hAnsi="Times New Roman"/>
          <w:sz w:val="28"/>
          <w:szCs w:val="28"/>
        </w:rPr>
        <w:t>Наведемо цитату зі статті про кургани в «Енциклопедії історії України» 2008 року видання. «За деякими підрахунками, на сьогодні в степовій зоні України залишилося бл. 150 тис. курганів. Більшість із них – невеликі, висотою 1–2 м, діаметром 10 – 30 м. На думку археологів, з усіх наявних курганів 70 – 80 % були споруджені племенами ямної культурно-істор. спільності доби енеоліту–бронзи, 1 – 2 % – племенами катакомбної культурно-історичної спільності (середня бронза), 8 – 9 % – іншим нас. доби середньої та пізньої бронзи, 2–3 % – скіфами, 2 – 3 % – середньовічними кочовиками». За час від видання згаданої енциклопедії минуло понад 15 років; археологічна наука поповнилась новими відкриттями, розвинулись нові інструменти досліджень. Не швидко, мабуть, зміняться згадані оцінки щодо структури обсягу курганів за археологічними культурами. Однак, потрібно пам’ятати, що в нашій місцевості (в лісостепу, на Посуллі) курганні некрополі можуть дещо відрізнятися за складом і часом існування від статистики «в середньому по Україні».</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На завершення викладу результатів дослідження хочемо навести легенду про один з курганів неподалік села Горошине. Перед цим зазначимо, що нині українці і кримські татари разом боронять нашу країну від </w:t>
      </w:r>
      <w:r>
        <w:rPr>
          <w:rFonts w:ascii="Times New Roman" w:hAnsi="Times New Roman"/>
          <w:sz w:val="28"/>
          <w:szCs w:val="28"/>
          <w:lang w:val="ru-RU"/>
        </w:rPr>
        <w:t>рос</w:t>
      </w:r>
      <w:r>
        <w:rPr>
          <w:rFonts w:ascii="Times New Roman" w:hAnsi="Times New Roman"/>
          <w:sz w:val="28"/>
          <w:szCs w:val="28"/>
        </w:rPr>
        <w:t>ійських окупантів. Але було колись, що українські козаки воювали проти татар. Отже, легенда.</w:t>
      </w:r>
    </w:p>
    <w:p>
      <w:pPr>
        <w:spacing w:after="0" w:line="360" w:lineRule="auto"/>
        <w:ind w:firstLine="397"/>
        <w:jc w:val="both"/>
        <w:rPr>
          <w:rFonts w:ascii="Times New Roman" w:hAnsi="Times New Roman"/>
          <w:sz w:val="28"/>
          <w:szCs w:val="28"/>
        </w:rPr>
      </w:pPr>
      <w:r>
        <w:rPr>
          <w:rFonts w:ascii="Times New Roman" w:hAnsi="Times New Roman"/>
          <w:sz w:val="28"/>
          <w:szCs w:val="28"/>
        </w:rPr>
        <w:t>У період боротьби з татарами у селі Горошине існувала сторожова вежа. Групи козаків часто виїжджали на полювання і, водночас, вистежували передові загони ворогів. Одного разу загін татар виявився набагато більшим, ніж очікували козаки і, щоб попередити мешканців містечка, частина вступила у нерівний бій, а двоє, наймолодші і менш досвідчені, поспішили до поселення. Але інший загін татар перехопив гінців. Тоді Яцина, щоб дати товаришеві час дібратися до сторожової вежі, вирішив обманом відволікти нападників: прикинувся пораненим і почав заманювати їх до розливів річки, подалі від містечка. Та не вдалося йому врятуватися, бо коли татари побачили сторожові вогнища, зрозуміли хитрість хлопця і жорстоко його вбили. Пізніше козаки поховали юнака, а це місце у народі називають Лацинова (Яцинова) могила.</w:t>
      </w:r>
    </w:p>
    <w:p>
      <w:pPr>
        <w:spacing w:after="0" w:line="360" w:lineRule="auto"/>
        <w:ind w:firstLine="397"/>
        <w:jc w:val="both"/>
        <w:rPr>
          <w:rFonts w:ascii="Times New Roman" w:hAnsi="Times New Roman"/>
          <w:sz w:val="32"/>
          <w:szCs w:val="32"/>
        </w:rPr>
      </w:pPr>
      <w:r>
        <w:rPr>
          <w:rFonts w:ascii="Times New Roman" w:hAnsi="Times New Roman"/>
          <w:sz w:val="28"/>
          <w:szCs w:val="28"/>
        </w:rPr>
        <w:t>Цю легенду нам розповіла Надія Копиця, яка також поділилася своїм віршем.</w:t>
      </w:r>
    </w:p>
    <w:p>
      <w:pPr>
        <w:spacing w:after="0" w:line="360" w:lineRule="auto"/>
        <w:ind w:left="1985" w:firstLine="397"/>
        <w:rPr>
          <w:rFonts w:ascii="Times New Roman" w:hAnsi="Times New Roman"/>
          <w:sz w:val="28"/>
          <w:szCs w:val="28"/>
        </w:rPr>
      </w:pPr>
      <w:r>
        <w:rPr>
          <w:rFonts w:ascii="Times New Roman" w:hAnsi="Times New Roman"/>
          <w:sz w:val="28"/>
          <w:szCs w:val="28"/>
        </w:rPr>
        <w:t>Виводить соловей свої пісні.</w:t>
      </w:r>
    </w:p>
    <w:p>
      <w:pPr>
        <w:spacing w:after="0" w:line="360" w:lineRule="auto"/>
        <w:ind w:left="1985" w:firstLine="397"/>
        <w:rPr>
          <w:rFonts w:ascii="Times New Roman" w:hAnsi="Times New Roman"/>
          <w:sz w:val="28"/>
          <w:szCs w:val="28"/>
        </w:rPr>
      </w:pPr>
      <w:r>
        <w:rPr>
          <w:rFonts w:ascii="Times New Roman" w:hAnsi="Times New Roman"/>
          <w:sz w:val="28"/>
          <w:szCs w:val="28"/>
        </w:rPr>
        <w:t>Лацинів горб розквітнув по весні.</w:t>
      </w:r>
    </w:p>
    <w:p>
      <w:pPr>
        <w:spacing w:after="0" w:line="360" w:lineRule="auto"/>
        <w:ind w:left="1985" w:firstLine="397"/>
        <w:rPr>
          <w:rFonts w:ascii="Times New Roman" w:hAnsi="Times New Roman"/>
          <w:sz w:val="28"/>
          <w:szCs w:val="28"/>
        </w:rPr>
      </w:pPr>
      <w:r>
        <w:rPr>
          <w:rFonts w:ascii="Times New Roman" w:hAnsi="Times New Roman"/>
          <w:sz w:val="28"/>
          <w:szCs w:val="28"/>
        </w:rPr>
        <w:t>Ряст устеляє схил аж до води,</w:t>
      </w:r>
    </w:p>
    <w:p>
      <w:pPr>
        <w:spacing w:after="0" w:line="360" w:lineRule="auto"/>
        <w:ind w:left="1985" w:firstLine="397"/>
        <w:rPr>
          <w:rFonts w:ascii="Times New Roman" w:hAnsi="Times New Roman"/>
          <w:sz w:val="28"/>
          <w:szCs w:val="28"/>
        </w:rPr>
      </w:pPr>
      <w:r>
        <w:rPr>
          <w:rFonts w:ascii="Times New Roman" w:hAnsi="Times New Roman"/>
          <w:sz w:val="28"/>
          <w:szCs w:val="28"/>
        </w:rPr>
        <w:t>Приховує історії сліди.</w:t>
      </w:r>
      <w:r>
        <w:rPr>
          <w:rFonts w:ascii="Times New Roman" w:hAnsi="Times New Roman"/>
          <w:sz w:val="28"/>
          <w:szCs w:val="28"/>
        </w:rPr>
        <w:tab/>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Лацинова могила... Чули ми,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Що козаки її шапками нанесли...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Ніхто не скаже, правда це чи ні... </w:t>
      </w:r>
    </w:p>
    <w:p>
      <w:pPr>
        <w:spacing w:after="0" w:line="360" w:lineRule="auto"/>
        <w:ind w:left="1985" w:firstLine="397"/>
        <w:rPr>
          <w:rFonts w:ascii="Times New Roman" w:hAnsi="Times New Roman"/>
          <w:sz w:val="28"/>
          <w:szCs w:val="28"/>
        </w:rPr>
      </w:pPr>
      <w:r>
        <w:rPr>
          <w:rFonts w:ascii="Times New Roman" w:hAnsi="Times New Roman"/>
          <w:sz w:val="28"/>
          <w:szCs w:val="28"/>
        </w:rPr>
        <w:t>Виводить соловей свої пісні.</w:t>
      </w:r>
    </w:p>
    <w:p>
      <w:pPr>
        <w:spacing w:after="0" w:line="360" w:lineRule="auto"/>
        <w:ind w:left="1985" w:firstLine="397"/>
        <w:rPr>
          <w:rFonts w:ascii="Times New Roman" w:hAnsi="Times New Roman"/>
          <w:sz w:val="28"/>
          <w:szCs w:val="28"/>
        </w:rPr>
      </w:pP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Вітпілна розлилась в два рукави.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Терновий кущ схилився до трави, </w:t>
      </w:r>
    </w:p>
    <w:p>
      <w:pPr>
        <w:spacing w:after="0" w:line="360" w:lineRule="auto"/>
        <w:ind w:left="1985" w:firstLine="397"/>
        <w:rPr>
          <w:rFonts w:ascii="Times New Roman" w:hAnsi="Times New Roman"/>
          <w:sz w:val="28"/>
          <w:szCs w:val="28"/>
        </w:rPr>
      </w:pPr>
      <w:r>
        <w:rPr>
          <w:rFonts w:ascii="Times New Roman" w:hAnsi="Times New Roman"/>
          <w:sz w:val="28"/>
          <w:szCs w:val="28"/>
        </w:rPr>
        <w:t>А берестки навшпиньки зіп</w:t>
      </w:r>
      <w:r>
        <w:rPr>
          <w:rFonts w:ascii="Times New Roman" w:hAnsi="Times New Roman"/>
          <w:sz w:val="28"/>
          <w:szCs w:val="28"/>
          <w:lang w:val="ru-RU"/>
        </w:rPr>
        <w:t>’</w:t>
      </w:r>
      <w:r>
        <w:rPr>
          <w:rFonts w:ascii="Times New Roman" w:hAnsi="Times New Roman"/>
          <w:sz w:val="28"/>
          <w:szCs w:val="28"/>
        </w:rPr>
        <w:t xml:space="preserve">ялись, </w:t>
      </w:r>
    </w:p>
    <w:p>
      <w:pPr>
        <w:spacing w:after="0" w:line="360" w:lineRule="auto"/>
        <w:ind w:left="1985" w:firstLine="397"/>
        <w:rPr>
          <w:rFonts w:ascii="Times New Roman" w:hAnsi="Times New Roman"/>
          <w:sz w:val="28"/>
          <w:szCs w:val="28"/>
        </w:rPr>
      </w:pPr>
      <w:r>
        <w:rPr>
          <w:rFonts w:ascii="Times New Roman" w:hAnsi="Times New Roman"/>
          <w:sz w:val="28"/>
          <w:szCs w:val="28"/>
        </w:rPr>
        <w:t>Гіллям-руками потягнулись ввись.</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Умита сонцем і дощем гора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Вся пролісками ніжно зацвіла,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Мов з неба впало трохи синяви. </w:t>
      </w:r>
    </w:p>
    <w:p>
      <w:pPr>
        <w:spacing w:after="0" w:line="360" w:lineRule="auto"/>
        <w:ind w:left="1985" w:firstLine="397"/>
        <w:rPr>
          <w:rFonts w:ascii="Times New Roman" w:hAnsi="Times New Roman"/>
          <w:sz w:val="28"/>
          <w:szCs w:val="28"/>
        </w:rPr>
      </w:pPr>
      <w:r>
        <w:rPr>
          <w:rFonts w:ascii="Times New Roman" w:hAnsi="Times New Roman"/>
          <w:sz w:val="28"/>
          <w:szCs w:val="28"/>
        </w:rPr>
        <w:t>Вітпілна розлилась в два рукави.</w:t>
      </w:r>
    </w:p>
    <w:p>
      <w:pPr>
        <w:spacing w:after="0" w:line="360" w:lineRule="auto"/>
        <w:ind w:left="1985" w:firstLine="397"/>
        <w:rPr>
          <w:rFonts w:ascii="Times New Roman" w:hAnsi="Times New Roman"/>
          <w:sz w:val="28"/>
          <w:szCs w:val="28"/>
        </w:rPr>
      </w:pP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Так тихо тут, немов дитинство спить.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У росах скупане повітря ледь тремтить. </w:t>
      </w:r>
    </w:p>
    <w:p>
      <w:pPr>
        <w:spacing w:after="0" w:line="360" w:lineRule="auto"/>
        <w:ind w:left="1985" w:firstLine="397"/>
        <w:rPr>
          <w:rFonts w:ascii="Times New Roman" w:hAnsi="Times New Roman"/>
          <w:sz w:val="28"/>
          <w:szCs w:val="28"/>
        </w:rPr>
      </w:pPr>
      <w:r>
        <w:rPr>
          <w:rFonts w:ascii="Times New Roman" w:hAnsi="Times New Roman"/>
          <w:sz w:val="28"/>
          <w:szCs w:val="28"/>
        </w:rPr>
        <w:t>Ось чути гомін листя про життя –</w:t>
      </w:r>
    </w:p>
    <w:p>
      <w:pPr>
        <w:spacing w:after="0" w:line="360" w:lineRule="auto"/>
        <w:ind w:left="1985" w:firstLine="397"/>
        <w:rPr>
          <w:rFonts w:ascii="Times New Roman" w:hAnsi="Times New Roman"/>
          <w:sz w:val="28"/>
          <w:szCs w:val="28"/>
        </w:rPr>
      </w:pPr>
      <w:r>
        <w:rPr>
          <w:rFonts w:ascii="Times New Roman" w:hAnsi="Times New Roman"/>
          <w:sz w:val="28"/>
          <w:szCs w:val="28"/>
        </w:rPr>
        <w:t>Чудове й неповторне відчуття.</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Вітрець цілує звабно кропиву,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Шепоче все довкола: я живу. </w:t>
      </w:r>
    </w:p>
    <w:p>
      <w:pPr>
        <w:spacing w:after="0" w:line="360" w:lineRule="auto"/>
        <w:ind w:left="1985" w:firstLine="397"/>
        <w:rPr>
          <w:rFonts w:ascii="Times New Roman" w:hAnsi="Times New Roman"/>
          <w:sz w:val="28"/>
          <w:szCs w:val="28"/>
        </w:rPr>
      </w:pPr>
      <w:r>
        <w:rPr>
          <w:rFonts w:ascii="Times New Roman" w:hAnsi="Times New Roman"/>
          <w:sz w:val="28"/>
          <w:szCs w:val="28"/>
        </w:rPr>
        <w:t xml:space="preserve">І хочеться затримати цю мить. </w:t>
      </w:r>
    </w:p>
    <w:p>
      <w:pPr>
        <w:spacing w:after="0" w:line="360" w:lineRule="auto"/>
        <w:ind w:left="1985" w:firstLine="397"/>
        <w:rPr>
          <w:rFonts w:ascii="Times New Roman" w:hAnsi="Times New Roman"/>
          <w:sz w:val="28"/>
          <w:szCs w:val="28"/>
        </w:rPr>
      </w:pPr>
      <w:r>
        <w:rPr>
          <w:rFonts w:ascii="Times New Roman" w:hAnsi="Times New Roman"/>
          <w:sz w:val="28"/>
          <w:szCs w:val="28"/>
        </w:rPr>
        <w:t>Так тихо тут, немов дитинство спить.</w:t>
      </w: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Висновки</w:t>
      </w:r>
    </w:p>
    <w:p>
      <w:pPr>
        <w:spacing w:after="0" w:line="360" w:lineRule="auto"/>
        <w:ind w:firstLine="397"/>
        <w:jc w:val="center"/>
        <w:rPr>
          <w:rFonts w:ascii="Times New Roman" w:hAnsi="Times New Roman"/>
          <w:b/>
          <w:bCs/>
          <w:sz w:val="28"/>
          <w:szCs w:val="28"/>
        </w:rPr>
      </w:pPr>
    </w:p>
    <w:p>
      <w:pPr>
        <w:spacing w:after="0" w:line="360" w:lineRule="auto"/>
        <w:ind w:firstLine="397"/>
        <w:jc w:val="both"/>
        <w:rPr>
          <w:rFonts w:ascii="Times New Roman" w:hAnsi="Times New Roman"/>
          <w:sz w:val="28"/>
          <w:szCs w:val="28"/>
        </w:rPr>
      </w:pPr>
      <w:r>
        <w:rPr>
          <w:rFonts w:ascii="Times New Roman" w:hAnsi="Times New Roman"/>
          <w:sz w:val="28"/>
          <w:szCs w:val="28"/>
        </w:rPr>
        <w:t>За нашими спостереженнями поблизу села Горошине знаходяться не менше 20 курганів. Окреслимо умовні межі цієї території: правий берег річки Сули (на захід від села Горошине), села Кукоби і Гаївка (на північний захід і північ), село Тукали (на схід), села Оболонь і Наталенки (на південний схід), село Мирони (на південь від села Горошине).</w:t>
      </w:r>
    </w:p>
    <w:p>
      <w:pPr>
        <w:spacing w:after="0" w:line="360" w:lineRule="auto"/>
        <w:ind w:firstLine="397"/>
        <w:jc w:val="both"/>
        <w:rPr>
          <w:rFonts w:ascii="Times New Roman" w:hAnsi="Times New Roman"/>
          <w:sz w:val="28"/>
          <w:szCs w:val="28"/>
        </w:rPr>
      </w:pPr>
      <w:r>
        <w:rPr>
          <w:rFonts w:ascii="Times New Roman" w:hAnsi="Times New Roman"/>
          <w:sz w:val="28"/>
          <w:szCs w:val="28"/>
        </w:rPr>
        <w:t xml:space="preserve">Кургани за зовнішнім виглядом можна поділити на три групи: задерновані; такі, що розорюються; зарослі чагарниками і (або) деревами. Крім цього, слід розрізняти кургани, які дуже пошкоджені вибіркою ґрунту, від інших. У цьому звіті дуже пошкоджений курган ми </w:t>
      </w:r>
      <w:r>
        <w:rPr>
          <w:rFonts w:ascii="Times New Roman" w:hAnsi="Times New Roman"/>
          <w:sz w:val="28"/>
          <w:szCs w:val="28"/>
          <w:lang w:val="ru-RU"/>
        </w:rPr>
        <w:t>назива</w:t>
      </w:r>
      <w:r>
        <w:rPr>
          <w:rFonts w:ascii="Times New Roman" w:hAnsi="Times New Roman"/>
          <w:sz w:val="28"/>
          <w:szCs w:val="28"/>
        </w:rPr>
        <w:t xml:space="preserve">ємо залишками кургану. Нами описано 8 курганів. При цьому ми вказували їхні географічні координати та висоту, отримані за допомогою додатка </w:t>
      </w:r>
      <w:r>
        <w:rPr>
          <w:rFonts w:ascii="Times New Roman" w:hAnsi="Times New Roman"/>
          <w:sz w:val="28"/>
          <w:szCs w:val="28"/>
          <w:lang w:val="en-US"/>
        </w:rPr>
        <w:t>Google</w:t>
      </w:r>
      <w:r>
        <w:rPr>
          <w:rFonts w:ascii="Times New Roman" w:hAnsi="Times New Roman"/>
          <w:sz w:val="28"/>
          <w:szCs w:val="28"/>
          <w:lang w:val="ru-RU"/>
        </w:rPr>
        <w:t xml:space="preserve"> </w:t>
      </w:r>
      <w:r>
        <w:rPr>
          <w:rFonts w:ascii="Times New Roman" w:hAnsi="Times New Roman"/>
          <w:sz w:val="28"/>
          <w:szCs w:val="28"/>
        </w:rPr>
        <w:t>Планета Земля</w:t>
      </w:r>
      <w:r>
        <w:rPr>
          <w:rFonts w:ascii="Times New Roman" w:hAnsi="Times New Roman"/>
          <w:sz w:val="28"/>
          <w:szCs w:val="28"/>
          <w:lang w:val="en-US"/>
        </w:rPr>
        <w:t xml:space="preserve">. </w:t>
      </w:r>
      <w:r>
        <w:rPr>
          <w:rFonts w:ascii="Times New Roman" w:hAnsi="Times New Roman"/>
          <w:sz w:val="28"/>
          <w:szCs w:val="28"/>
        </w:rPr>
        <w:t>О</w:t>
      </w:r>
      <w:r>
        <w:rPr>
          <w:rFonts w:ascii="Times New Roman" w:hAnsi="Times New Roman"/>
          <w:sz w:val="28"/>
          <w:szCs w:val="28"/>
          <w:lang w:val="ru-RU"/>
        </w:rPr>
        <w:t>дин з описаних нами курган</w:t>
      </w:r>
      <w:r>
        <w:rPr>
          <w:rFonts w:ascii="Times New Roman" w:hAnsi="Times New Roman"/>
          <w:sz w:val="28"/>
          <w:szCs w:val="28"/>
        </w:rPr>
        <w:t>ів, фото якого розміщено в додатку 12, згаданий у книзі «Звід пам’яток історії та культури України: Полтавська область. Семенівський район» під № 131.</w:t>
      </w:r>
    </w:p>
    <w:p>
      <w:pPr>
        <w:spacing w:after="0" w:line="360" w:lineRule="auto"/>
        <w:ind w:firstLine="397"/>
        <w:jc w:val="both"/>
        <w:rPr>
          <w:rFonts w:ascii="Times New Roman" w:hAnsi="Times New Roman"/>
          <w:sz w:val="28"/>
          <w:szCs w:val="28"/>
        </w:rPr>
      </w:pPr>
      <w:r>
        <w:rPr>
          <w:rFonts w:ascii="Times New Roman" w:hAnsi="Times New Roman"/>
          <w:sz w:val="28"/>
          <w:szCs w:val="28"/>
        </w:rPr>
        <w:t>Жоден з курганів поблизу села Горошине не внесений, як пам</w:t>
      </w:r>
      <w:r>
        <w:rPr>
          <w:rFonts w:ascii="Times New Roman" w:hAnsi="Times New Roman"/>
          <w:sz w:val="28"/>
          <w:szCs w:val="28"/>
          <w:lang w:val="en-US"/>
        </w:rPr>
        <w:t>’</w:t>
      </w:r>
      <w:r>
        <w:rPr>
          <w:rFonts w:ascii="Times New Roman" w:hAnsi="Times New Roman"/>
          <w:sz w:val="28"/>
          <w:szCs w:val="28"/>
        </w:rPr>
        <w:t>ятка археології</w:t>
      </w:r>
      <w:r>
        <w:rPr>
          <w:rFonts w:ascii="Times New Roman" w:hAnsi="Times New Roman"/>
          <w:sz w:val="28"/>
          <w:szCs w:val="28"/>
          <w:lang w:val="en-US"/>
        </w:rPr>
        <w:t>,</w:t>
      </w:r>
      <w:r>
        <w:rPr>
          <w:rFonts w:ascii="Times New Roman" w:hAnsi="Times New Roman"/>
          <w:sz w:val="28"/>
          <w:szCs w:val="28"/>
        </w:rPr>
        <w:t xml:space="preserve"> у Державний реєстр </w:t>
      </w:r>
      <w:r>
        <w:rPr>
          <w:rFonts w:ascii="Times New Roman" w:hAnsi="Times New Roman"/>
          <w:sz w:val="28"/>
          <w:szCs w:val="28"/>
          <w:lang w:val="ru-RU"/>
        </w:rPr>
        <w:t>нерухомих пам’яток Укра</w:t>
      </w:r>
      <w:r>
        <w:rPr>
          <w:rFonts w:ascii="Times New Roman" w:hAnsi="Times New Roman"/>
          <w:sz w:val="28"/>
          <w:szCs w:val="28"/>
        </w:rPr>
        <w:t>їни</w:t>
      </w:r>
      <w:r>
        <w:rPr>
          <w:rFonts w:ascii="Times New Roman" w:hAnsi="Times New Roman"/>
          <w:sz w:val="28"/>
          <w:szCs w:val="28"/>
          <w:lang w:val="en-US"/>
        </w:rPr>
        <w:t>.</w:t>
      </w:r>
      <w:r>
        <w:rPr>
          <w:rFonts w:ascii="Times New Roman" w:hAnsi="Times New Roman"/>
          <w:sz w:val="28"/>
          <w:szCs w:val="28"/>
        </w:rPr>
        <w:t xml:space="preserve"> Увага державної і місцевої влади до національно-патріотичного виховання молоді, до краєзнавчої роботи, дозволяє відчувати обережний оптимізм щодо подальшої роботи із занесення пам’яток історії та культури, в тому числі, курганів до Державного реєстру </w:t>
      </w:r>
      <w:r>
        <w:rPr>
          <w:rFonts w:ascii="Times New Roman" w:hAnsi="Times New Roman"/>
          <w:sz w:val="28"/>
          <w:szCs w:val="28"/>
          <w:lang w:val="ru-RU"/>
        </w:rPr>
        <w:t>нерухомих пам’яток Укра</w:t>
      </w:r>
      <w:r>
        <w:rPr>
          <w:rFonts w:ascii="Times New Roman" w:hAnsi="Times New Roman"/>
          <w:sz w:val="28"/>
          <w:szCs w:val="28"/>
        </w:rPr>
        <w:t>їни.</w:t>
      </w:r>
    </w:p>
    <w:p>
      <w:pPr>
        <w:spacing w:after="0" w:line="360" w:lineRule="auto"/>
        <w:ind w:firstLine="397"/>
        <w:jc w:val="both"/>
        <w:rPr>
          <w:rFonts w:ascii="Times New Roman" w:hAnsi="Times New Roman"/>
          <w:sz w:val="28"/>
          <w:szCs w:val="28"/>
        </w:rPr>
      </w:pPr>
      <w:r>
        <w:rPr>
          <w:rFonts w:ascii="Times New Roman" w:hAnsi="Times New Roman"/>
          <w:sz w:val="28"/>
          <w:szCs w:val="28"/>
        </w:rPr>
        <w:t>Кургани нашого краю – це не лише пам’ятки археології. Кургани як місця поховань мають сакральне значення. Тому ми вважаємо, що вони потребують охорони і збереження, а дослідження їх варто проводити без непоправних руйнувань, з використанням новітнього обладнання і відповідних методів роботи.</w:t>
      </w:r>
    </w:p>
    <w:p>
      <w:pPr>
        <w:spacing w:after="0" w:line="360" w:lineRule="auto"/>
        <w:ind w:firstLine="397"/>
        <w:jc w:val="center"/>
        <w:rPr>
          <w:rFonts w:ascii="Times New Roman" w:hAnsi="Times New Roman"/>
          <w:sz w:val="32"/>
          <w:szCs w:val="32"/>
        </w:rPr>
      </w:pPr>
    </w:p>
    <w:p>
      <w:pPr>
        <w:spacing w:after="0" w:line="360" w:lineRule="auto"/>
        <w:ind w:firstLine="397"/>
        <w:jc w:val="center"/>
        <w:rPr>
          <w:rFonts w:ascii="Times New Roman" w:hAnsi="Times New Roman"/>
          <w:sz w:val="32"/>
          <w:szCs w:val="32"/>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Список джерел</w:t>
      </w:r>
    </w:p>
    <w:p>
      <w:pPr>
        <w:spacing w:after="0" w:line="360" w:lineRule="auto"/>
        <w:ind w:firstLine="397"/>
        <w:jc w:val="center"/>
        <w:rPr>
          <w:rFonts w:ascii="Times New Roman" w:hAnsi="Times New Roman"/>
          <w:sz w:val="28"/>
          <w:szCs w:val="28"/>
        </w:rPr>
      </w:pPr>
    </w:p>
    <w:p>
      <w:pPr>
        <w:spacing w:after="0" w:line="360" w:lineRule="auto"/>
        <w:ind w:firstLine="397"/>
        <w:jc w:val="both"/>
        <w:rPr>
          <w:rFonts w:ascii="Times New Roman" w:hAnsi="Times New Roman"/>
          <w:sz w:val="28"/>
          <w:szCs w:val="28"/>
          <w:lang w:val="ru-RU"/>
        </w:rPr>
      </w:pPr>
      <w:r>
        <w:rPr>
          <w:rFonts w:ascii="Times New Roman" w:hAnsi="Times New Roman"/>
          <w:sz w:val="28"/>
          <w:szCs w:val="28"/>
        </w:rPr>
        <w:t xml:space="preserve">1. </w:t>
      </w:r>
      <w:r>
        <w:rPr>
          <w:rFonts w:ascii="Times New Roman" w:hAnsi="Times New Roman"/>
          <w:sz w:val="28"/>
          <w:szCs w:val="28"/>
          <w:lang w:val="ru-RU"/>
        </w:rPr>
        <w:t>Вєтров Віктор, Бондар Ксенія.  Р</w:t>
      </w:r>
      <w:r>
        <w:rPr>
          <w:rFonts w:ascii="Times New Roman" w:hAnsi="Times New Roman"/>
          <w:sz w:val="28"/>
          <w:szCs w:val="28"/>
        </w:rPr>
        <w:t xml:space="preserve">езультати   археологічних  досліджень у зонах  георадарного  сканування   подвір’я  </w:t>
      </w:r>
      <w:r>
        <w:rPr>
          <w:rFonts w:ascii="Times New Roman" w:hAnsi="Times New Roman"/>
          <w:sz w:val="28"/>
          <w:szCs w:val="28"/>
          <w:lang w:val="ru-RU"/>
        </w:rPr>
        <w:t>М</w:t>
      </w:r>
      <w:r>
        <w:rPr>
          <w:rFonts w:ascii="Times New Roman" w:hAnsi="Times New Roman"/>
          <w:sz w:val="28"/>
          <w:szCs w:val="28"/>
        </w:rPr>
        <w:t>еджибізької  фортеці</w:t>
      </w:r>
      <w:r>
        <w:rPr>
          <w:rFonts w:ascii="Times New Roman" w:hAnsi="Times New Roman"/>
          <w:sz w:val="28"/>
          <w:szCs w:val="28"/>
          <w:lang w:val="ru-RU"/>
        </w:rPr>
        <w:t xml:space="preserve"> / Простір в історичних дослідженнях, 2023, вип 4. URL: https://doi.org/10.5281/zenodo.8043896</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 xml:space="preserve">2. </w:t>
      </w:r>
      <w:r>
        <w:rPr>
          <w:rFonts w:ascii="Times New Roman" w:hAnsi="Times New Roman"/>
          <w:sz w:val="28"/>
          <w:szCs w:val="28"/>
        </w:rPr>
        <w:t>Геодезія: курс лекцій. Для студентів природничо-гуманітарного фахово-го коледжу спеціальності  193  Геодезія та землеустрій  /  укладачі: І. В. Кали-нич,   М. М. Карабінюк, М. Р. Ничвид, Л. І. Пічкар. Ужгород: Вид-во УжНУ «Говерла», 2022. 296 с.</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Городища и курган</w:t>
      </w:r>
      <w:r>
        <w:rPr>
          <w:rFonts w:ascii="Times New Roman" w:hAnsi="Times New Roman"/>
          <w:sz w:val="28"/>
          <w:szCs w:val="28"/>
          <w:lang w:val="ru-RU"/>
        </w:rPr>
        <w:t>ы Полтавской губернии. Сборник топографических сведений. Издание Полтавской ученой архивной комиссии. Полтава, 1917. – с. 104.</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Звід пам’яток історії та культури України: Полтавська область. Семенівський район / Упорядн., наук. ред. В. О. Мокляк. Полтавський краєзнавчий музей. ‒ Полтава: TOB "АСМІ", 2013. ‒ 396 с.</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 xml:space="preserve">5. </w:t>
      </w:r>
      <w:r>
        <w:rPr>
          <w:rFonts w:ascii="Times New Roman" w:hAnsi="Times New Roman"/>
          <w:sz w:val="28"/>
          <w:szCs w:val="28"/>
        </w:rPr>
        <w:t xml:space="preserve">Іллінська В. А. Кургани скіфського часу посульсько-донецького лісостепу. Археологія, т. </w:t>
      </w:r>
      <w:r>
        <w:rPr>
          <w:rFonts w:ascii="Times New Roman" w:hAnsi="Times New Roman"/>
          <w:sz w:val="28"/>
          <w:szCs w:val="28"/>
          <w:lang w:val="en-US"/>
        </w:rPr>
        <w:t xml:space="preserve">XIV, 1962 </w:t>
      </w:r>
      <w:r>
        <w:rPr>
          <w:rFonts w:ascii="Times New Roman" w:hAnsi="Times New Roman"/>
          <w:sz w:val="28"/>
          <w:szCs w:val="28"/>
          <w:lang w:val="ru-RU"/>
        </w:rPr>
        <w:t>р. – с. 52 – 75.</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6</w:t>
      </w:r>
      <w:r>
        <w:rPr>
          <w:rFonts w:ascii="Times New Roman" w:hAnsi="Times New Roman"/>
          <w:sz w:val="28"/>
          <w:szCs w:val="28"/>
        </w:rPr>
        <w:t>. Прошлое Полтавской территории и её заселение : исслед. и материалы с картами / Л. В. Падалка. – Репр. изд. 1914 г. – Харьков: САГА, 2009. – 330 c. : ил. – (Полтавское историческое наследие). – ISBN 978-966-2918-90-8.</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xml:space="preserve">. Скорий С.А., Кислий О.Є. КУРГАН, надмогильний пагорб [Електронний ресурс] // Енциклопедія історії України: Т. 5: Кон – Кю / Редкол.: В. А. Смолій (голова) та ін. </w:t>
      </w:r>
      <w:r>
        <w:rPr>
          <w:rFonts w:ascii="Times New Roman" w:hAnsi="Times New Roman"/>
          <w:sz w:val="28"/>
          <w:szCs w:val="28"/>
          <w:lang w:val="ru-RU"/>
        </w:rPr>
        <w:t>НАН України. Інститут історії України. – К.: В-во "Наукова думка", 2008. – 568 с.: іл.. URL: http://www.history.org.ua/?termin=Kurgan (останній перегляд: 13.04.2024).</w:t>
      </w:r>
    </w:p>
    <w:p>
      <w:pPr>
        <w:spacing w:after="0" w:line="360" w:lineRule="auto"/>
        <w:ind w:firstLine="397"/>
        <w:jc w:val="both"/>
        <w:rPr>
          <w:rFonts w:ascii="Times New Roman" w:hAnsi="Times New Roman"/>
          <w:sz w:val="28"/>
          <w:szCs w:val="28"/>
        </w:rPr>
      </w:pPr>
      <w:r>
        <w:rPr>
          <w:rFonts w:ascii="Times New Roman" w:hAnsi="Times New Roman"/>
          <w:sz w:val="28"/>
          <w:szCs w:val="28"/>
          <w:lang w:val="ru-RU"/>
        </w:rPr>
        <w:t>8</w:t>
      </w:r>
      <w:r>
        <w:rPr>
          <w:rFonts w:ascii="Times New Roman" w:hAnsi="Times New Roman"/>
          <w:sz w:val="28"/>
          <w:szCs w:val="28"/>
        </w:rPr>
        <w:t>. Топографічна карта М-36-90-Б (Оболонь). Масштаб 1:50000. 1931 р.</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9</w:t>
      </w:r>
      <w:r>
        <w:rPr>
          <w:rFonts w:ascii="Times New Roman" w:hAnsi="Times New Roman"/>
          <w:sz w:val="28"/>
          <w:szCs w:val="28"/>
        </w:rPr>
        <w:t>. Топографічна карта М-36-90 (Оболонь). Масштаб 1:100000. 1987 р.</w:t>
      </w:r>
    </w:p>
    <w:p>
      <w:pPr>
        <w:spacing w:after="0" w:line="360" w:lineRule="auto"/>
        <w:ind w:firstLine="397"/>
        <w:jc w:val="both"/>
        <w:rPr>
          <w:rFonts w:ascii="Times New Roman" w:hAnsi="Times New Roman"/>
          <w:sz w:val="28"/>
          <w:szCs w:val="28"/>
          <w:lang w:val="ru-RU"/>
        </w:rPr>
      </w:pPr>
      <w:r>
        <w:rPr>
          <w:rFonts w:ascii="Times New Roman" w:hAnsi="Times New Roman"/>
          <w:sz w:val="28"/>
          <w:szCs w:val="28"/>
          <w:lang w:val="ru-RU"/>
        </w:rPr>
        <w:t>10. Карта Полтавської губерн</w:t>
      </w:r>
      <w:r>
        <w:rPr>
          <w:rFonts w:ascii="Times New Roman" w:hAnsi="Times New Roman"/>
          <w:sz w:val="28"/>
          <w:szCs w:val="28"/>
        </w:rPr>
        <w:t>ії (</w:t>
      </w:r>
      <w:r>
        <w:rPr>
          <w:rFonts w:ascii="Times New Roman" w:hAnsi="Times New Roman"/>
          <w:sz w:val="28"/>
          <w:szCs w:val="28"/>
          <w:lang w:val="ru-RU"/>
        </w:rPr>
        <w:t xml:space="preserve">трьохверстка Шуберта), </w:t>
      </w:r>
      <w:r>
        <w:rPr>
          <w:rFonts w:ascii="Times New Roman" w:hAnsi="Times New Roman"/>
          <w:sz w:val="28"/>
          <w:szCs w:val="28"/>
          <w:lang w:val="en-US"/>
        </w:rPr>
        <w:t xml:space="preserve">XIX </w:t>
      </w:r>
      <w:r>
        <w:rPr>
          <w:rFonts w:ascii="Times New Roman" w:hAnsi="Times New Roman"/>
          <w:sz w:val="28"/>
          <w:szCs w:val="28"/>
          <w:lang w:val="ru-RU"/>
        </w:rPr>
        <w:t>ст.</w:t>
      </w:r>
    </w:p>
    <w:p>
      <w:pPr>
        <w:spacing w:after="0" w:line="360" w:lineRule="auto"/>
        <w:ind w:firstLine="397"/>
        <w:jc w:val="both"/>
        <w:rPr>
          <w:rFonts w:ascii="Times New Roman" w:hAnsi="Times New Roman"/>
          <w:sz w:val="28"/>
          <w:szCs w:val="28"/>
        </w:rPr>
      </w:pP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Додатки</w:t>
      </w: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1</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Схема кущового маршруту експедиції</w:t>
      </w:r>
    </w:p>
    <w:p>
      <w:pPr>
        <w:spacing w:after="0" w:line="360" w:lineRule="auto"/>
        <w:jc w:val="center"/>
        <w:rPr>
          <w:rFonts w:ascii="Times New Roman" w:hAnsi="Times New Roman"/>
          <w:sz w:val="28"/>
          <w:szCs w:val="28"/>
        </w:rPr>
      </w:pPr>
    </w:p>
    <w:p>
      <w:pPr>
        <w:spacing w:after="0" w:line="360" w:lineRule="auto"/>
        <w:jc w:val="center"/>
        <w:rPr>
          <w:rFonts w:ascii="Times New Roman" w:hAnsi="Times New Roman"/>
          <w:sz w:val="28"/>
          <w:szCs w:val="28"/>
        </w:rPr>
      </w:pPr>
      <w:r>
        <w:drawing>
          <wp:inline distT="0" distB="0" distL="114300" distR="114300">
            <wp:extent cx="5311140" cy="5311140"/>
            <wp:effectExtent l="0" t="0" r="1016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7"/>
                    <a:stretch>
                      <a:fillRect/>
                    </a:stretch>
                  </pic:blipFill>
                  <pic:spPr>
                    <a:xfrm>
                      <a:off x="0" y="0"/>
                      <a:ext cx="5311140" cy="5311140"/>
                    </a:xfrm>
                    <a:prstGeom prst="rect">
                      <a:avLst/>
                    </a:prstGeom>
                    <a:noFill/>
                    <a:ln>
                      <a:noFill/>
                    </a:ln>
                  </pic:spPr>
                </pic:pic>
              </a:graphicData>
            </a:graphic>
          </wp:inline>
        </w:drawing>
      </w: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both"/>
        <w:rPr>
          <w:rFonts w:ascii="Times New Roman" w:hAnsi="Times New Roman"/>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2</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Учасники експедиції. Курган «Могила Блохова»</w:t>
      </w:r>
    </w:p>
    <w:p>
      <w:pPr>
        <w:spacing w:after="0" w:line="360" w:lineRule="auto"/>
        <w:ind w:firstLine="142"/>
        <w:jc w:val="center"/>
        <w:rPr>
          <w:rFonts w:ascii="Times New Roman" w:hAnsi="Times New Roman"/>
          <w:sz w:val="28"/>
          <w:szCs w:val="28"/>
        </w:rPr>
      </w:pPr>
      <w:r>
        <w:drawing>
          <wp:inline distT="0" distB="0" distL="114300" distR="114300">
            <wp:extent cx="5554980" cy="4168140"/>
            <wp:effectExtent l="0" t="0" r="7620" b="1016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8"/>
                    <a:stretch>
                      <a:fillRect/>
                    </a:stretch>
                  </pic:blipFill>
                  <pic:spPr>
                    <a:xfrm>
                      <a:off x="0" y="0"/>
                      <a:ext cx="5554980" cy="4168140"/>
                    </a:xfrm>
                    <a:prstGeom prst="rect">
                      <a:avLst/>
                    </a:prstGeom>
                    <a:noFill/>
                    <a:ln>
                      <a:noFill/>
                    </a:ln>
                  </pic:spPr>
                </pic:pic>
              </a:graphicData>
            </a:graphic>
          </wp:inline>
        </w:drawing>
      </w:r>
    </w:p>
    <w:p>
      <w:pPr>
        <w:spacing w:after="0" w:line="360" w:lineRule="auto"/>
        <w:ind w:firstLine="397"/>
        <w:jc w:val="right"/>
        <w:rPr>
          <w:rFonts w:ascii="Times New Roman" w:hAnsi="Times New Roman"/>
          <w:sz w:val="28"/>
          <w:szCs w:val="28"/>
        </w:rPr>
      </w:pPr>
      <w:r>
        <w:rPr>
          <w:rFonts w:ascii="Times New Roman" w:hAnsi="Times New Roman"/>
          <w:sz w:val="28"/>
          <w:szCs w:val="28"/>
        </w:rPr>
        <w:t xml:space="preserve"> </w:t>
      </w: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3</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Залишки кургану «Могила Блохова»</w:t>
      </w:r>
    </w:p>
    <w:p>
      <w:pPr>
        <w:spacing w:after="0" w:line="360" w:lineRule="auto"/>
        <w:ind w:firstLine="142"/>
        <w:jc w:val="center"/>
        <w:rPr>
          <w:rFonts w:ascii="Times New Roman" w:hAnsi="Times New Roman"/>
          <w:sz w:val="28"/>
          <w:szCs w:val="28"/>
        </w:rPr>
      </w:pPr>
      <w:r>
        <w:drawing>
          <wp:inline distT="0" distB="0" distL="114300" distR="114300">
            <wp:extent cx="5303520" cy="5303520"/>
            <wp:effectExtent l="0" t="0" r="5080" b="508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9"/>
                    <a:stretch>
                      <a:fillRect/>
                    </a:stretch>
                  </pic:blipFill>
                  <pic:spPr>
                    <a:xfrm>
                      <a:off x="0" y="0"/>
                      <a:ext cx="5303520" cy="5303520"/>
                    </a:xfrm>
                    <a:prstGeom prst="rect">
                      <a:avLst/>
                    </a:prstGeom>
                    <a:noFill/>
                    <a:ln>
                      <a:noFill/>
                    </a:ln>
                  </pic:spPr>
                </pic:pic>
              </a:graphicData>
            </a:graphic>
          </wp:inline>
        </w:drawing>
      </w: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4</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Курган Могила Блохова, ще один курган групи та кладовище</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 xml:space="preserve"> на карті 1931 р.</w:t>
      </w:r>
    </w:p>
    <w:p>
      <w:pPr>
        <w:spacing w:after="0" w:line="360" w:lineRule="auto"/>
        <w:ind w:firstLine="142"/>
        <w:jc w:val="center"/>
        <w:rPr>
          <w:rFonts w:ascii="Times New Roman" w:hAnsi="Times New Roman"/>
          <w:b/>
          <w:bCs/>
          <w:sz w:val="28"/>
          <w:szCs w:val="28"/>
        </w:rPr>
      </w:pPr>
      <w:r>
        <w:drawing>
          <wp:inline distT="0" distB="0" distL="114300" distR="114300">
            <wp:extent cx="5623560" cy="3718560"/>
            <wp:effectExtent l="0" t="0" r="2540" b="254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0"/>
                    <a:stretch>
                      <a:fillRect/>
                    </a:stretch>
                  </pic:blipFill>
                  <pic:spPr>
                    <a:xfrm>
                      <a:off x="0" y="0"/>
                      <a:ext cx="5623560" cy="3718560"/>
                    </a:xfrm>
                    <a:prstGeom prst="rect">
                      <a:avLst/>
                    </a:prstGeom>
                    <a:noFill/>
                    <a:ln>
                      <a:noFill/>
                    </a:ln>
                  </pic:spPr>
                </pic:pic>
              </a:graphicData>
            </a:graphic>
          </wp:inline>
        </w:drawing>
      </w:r>
    </w:p>
    <w:p>
      <w:pPr>
        <w:spacing w:after="0" w:line="360" w:lineRule="auto"/>
        <w:ind w:firstLine="397"/>
        <w:jc w:val="right"/>
        <w:rPr>
          <w:rFonts w:ascii="Times New Roman" w:hAnsi="Times New Roman"/>
          <w:b/>
          <w:bCs/>
          <w:sz w:val="20"/>
          <w:szCs w:val="20"/>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5</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Група з трьох курганів і курган по інший бік дороги на карті 1931 р.</w:t>
      </w:r>
    </w:p>
    <w:p>
      <w:pPr>
        <w:spacing w:after="0" w:line="360" w:lineRule="auto"/>
        <w:ind w:firstLine="142"/>
        <w:jc w:val="center"/>
        <w:rPr>
          <w:rFonts w:ascii="Times New Roman" w:hAnsi="Times New Roman"/>
          <w:b/>
          <w:bCs/>
          <w:sz w:val="28"/>
          <w:szCs w:val="28"/>
        </w:rPr>
      </w:pPr>
      <w:r>
        <w:drawing>
          <wp:inline distT="0" distB="0" distL="114300" distR="114300">
            <wp:extent cx="5570220" cy="3482340"/>
            <wp:effectExtent l="0" t="0" r="5080" b="1016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11"/>
                    <a:stretch>
                      <a:fillRect/>
                    </a:stretch>
                  </pic:blipFill>
                  <pic:spPr>
                    <a:xfrm>
                      <a:off x="0" y="0"/>
                      <a:ext cx="5570220" cy="3482340"/>
                    </a:xfrm>
                    <a:prstGeom prst="rect">
                      <a:avLst/>
                    </a:prstGeom>
                    <a:noFill/>
                    <a:ln>
                      <a:noFill/>
                    </a:ln>
                  </pic:spPr>
                </pic:pic>
              </a:graphicData>
            </a:graphic>
          </wp:inline>
        </w:drawing>
      </w: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6</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Другий курган групи понад шляхом с. Горошине – с. Тукали</w:t>
      </w:r>
    </w:p>
    <w:p>
      <w:pPr>
        <w:spacing w:after="0" w:line="360" w:lineRule="auto"/>
        <w:ind w:firstLine="142"/>
        <w:jc w:val="center"/>
        <w:rPr>
          <w:rFonts w:ascii="Times New Roman" w:hAnsi="Times New Roman"/>
          <w:b/>
          <w:bCs/>
          <w:sz w:val="28"/>
          <w:szCs w:val="28"/>
        </w:rPr>
      </w:pPr>
      <w:r>
        <w:drawing>
          <wp:inline distT="0" distB="0" distL="114300" distR="114300">
            <wp:extent cx="5798820" cy="3916680"/>
            <wp:effectExtent l="0" t="0" r="5080" b="762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2"/>
                    <a:stretch>
                      <a:fillRect/>
                    </a:stretch>
                  </pic:blipFill>
                  <pic:spPr>
                    <a:xfrm>
                      <a:off x="0" y="0"/>
                      <a:ext cx="5798820" cy="3916680"/>
                    </a:xfrm>
                    <a:prstGeom prst="rect">
                      <a:avLst/>
                    </a:prstGeom>
                    <a:noFill/>
                    <a:ln>
                      <a:noFill/>
                    </a:ln>
                  </pic:spPr>
                </pic:pic>
              </a:graphicData>
            </a:graphic>
          </wp:inline>
        </w:drawing>
      </w: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7</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 xml:space="preserve">Третій курган групи (Смагліївська могила) та учасники експедиції </w:t>
      </w:r>
    </w:p>
    <w:p>
      <w:pPr>
        <w:spacing w:after="0" w:line="360" w:lineRule="auto"/>
        <w:ind w:firstLine="142"/>
        <w:jc w:val="center"/>
        <w:rPr>
          <w:rFonts w:ascii="Times New Roman" w:hAnsi="Times New Roman"/>
          <w:b/>
          <w:bCs/>
          <w:sz w:val="28"/>
          <w:szCs w:val="28"/>
        </w:rPr>
      </w:pPr>
      <w:r>
        <w:drawing>
          <wp:inline distT="0" distB="0" distL="114300" distR="114300">
            <wp:extent cx="5745480" cy="3215640"/>
            <wp:effectExtent l="0" t="0" r="7620" b="1016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3"/>
                    <a:stretch>
                      <a:fillRect/>
                    </a:stretch>
                  </pic:blipFill>
                  <pic:spPr>
                    <a:xfrm>
                      <a:off x="0" y="0"/>
                      <a:ext cx="5745480" cy="3215640"/>
                    </a:xfrm>
                    <a:prstGeom prst="rect">
                      <a:avLst/>
                    </a:prstGeom>
                    <a:noFill/>
                    <a:ln>
                      <a:noFill/>
                    </a:ln>
                  </pic:spPr>
                </pic:pic>
              </a:graphicData>
            </a:graphic>
          </wp:inline>
        </w:drawing>
      </w: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8</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Третій курган групи (Смагліївська могила)</w:t>
      </w:r>
    </w:p>
    <w:p>
      <w:pPr>
        <w:spacing w:after="0" w:line="360" w:lineRule="auto"/>
        <w:ind w:firstLine="142"/>
        <w:jc w:val="center"/>
        <w:rPr>
          <w:rFonts w:ascii="Times New Roman" w:hAnsi="Times New Roman"/>
          <w:b/>
          <w:bCs/>
          <w:sz w:val="28"/>
          <w:szCs w:val="28"/>
        </w:rPr>
      </w:pPr>
      <w:r>
        <w:drawing>
          <wp:inline distT="0" distB="0" distL="114300" distR="114300">
            <wp:extent cx="5722620" cy="4290060"/>
            <wp:effectExtent l="0" t="0" r="5080" b="254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4"/>
                    <a:stretch>
                      <a:fillRect/>
                    </a:stretch>
                  </pic:blipFill>
                  <pic:spPr>
                    <a:xfrm>
                      <a:off x="0" y="0"/>
                      <a:ext cx="5722620" cy="4290060"/>
                    </a:xfrm>
                    <a:prstGeom prst="rect">
                      <a:avLst/>
                    </a:prstGeom>
                    <a:noFill/>
                    <a:ln>
                      <a:noFill/>
                    </a:ln>
                  </pic:spPr>
                </pic:pic>
              </a:graphicData>
            </a:graphic>
          </wp:inline>
        </w:drawing>
      </w: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r>
        <w:rPr>
          <w:rFonts w:ascii="Times New Roman" w:hAnsi="Times New Roman"/>
          <w:b/>
          <w:bCs/>
          <w:sz w:val="28"/>
          <w:szCs w:val="28"/>
        </w:rPr>
        <w:t>Додаток 9</w:t>
      </w:r>
    </w:p>
    <w:p>
      <w:pPr>
        <w:spacing w:after="0" w:line="360" w:lineRule="auto"/>
        <w:ind w:firstLine="397"/>
        <w:jc w:val="center"/>
        <w:rPr>
          <w:rFonts w:ascii="Times New Roman" w:hAnsi="Times New Roman"/>
          <w:b/>
          <w:bCs/>
          <w:sz w:val="28"/>
          <w:szCs w:val="28"/>
          <w:lang w:val="ru-RU"/>
        </w:rPr>
      </w:pPr>
      <w:r>
        <w:rPr>
          <w:rFonts w:ascii="Times New Roman" w:hAnsi="Times New Roman"/>
          <w:b/>
          <w:bCs/>
          <w:sz w:val="28"/>
          <w:szCs w:val="28"/>
          <w:lang w:val="ru-RU"/>
        </w:rPr>
        <w:t>Курган справа від шляху с. Горошине – с. Тукали</w:t>
      </w:r>
    </w:p>
    <w:p>
      <w:pPr>
        <w:spacing w:after="0" w:line="360" w:lineRule="auto"/>
        <w:ind w:firstLine="142"/>
        <w:jc w:val="center"/>
        <w:rPr>
          <w:rFonts w:ascii="Times New Roman" w:hAnsi="Times New Roman"/>
          <w:b/>
          <w:bCs/>
          <w:sz w:val="28"/>
          <w:szCs w:val="28"/>
          <w:lang w:val="ru-RU"/>
        </w:rPr>
      </w:pPr>
      <w:r>
        <w:drawing>
          <wp:inline distT="0" distB="0" distL="114300" distR="114300">
            <wp:extent cx="5593080" cy="5593080"/>
            <wp:effectExtent l="0" t="0" r="7620" b="762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5"/>
                    <a:stretch>
                      <a:fillRect/>
                    </a:stretch>
                  </pic:blipFill>
                  <pic:spPr>
                    <a:xfrm>
                      <a:off x="0" y="0"/>
                      <a:ext cx="5593080" cy="5593080"/>
                    </a:xfrm>
                    <a:prstGeom prst="rect">
                      <a:avLst/>
                    </a:prstGeom>
                    <a:noFill/>
                    <a:ln>
                      <a:noFill/>
                    </a:ln>
                  </pic:spPr>
                </pic:pic>
              </a:graphicData>
            </a:graphic>
          </wp:inline>
        </w:drawing>
      </w:r>
    </w:p>
    <w:p>
      <w:pPr>
        <w:spacing w:after="0" w:line="360" w:lineRule="auto"/>
        <w:ind w:firstLine="397"/>
        <w:jc w:val="center"/>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397"/>
        <w:jc w:val="right"/>
        <w:rPr>
          <w:rFonts w:ascii="Times New Roman" w:hAnsi="Times New Roman"/>
          <w:b/>
          <w:bCs/>
          <w:sz w:val="28"/>
          <w:szCs w:val="28"/>
        </w:rPr>
      </w:pPr>
    </w:p>
    <w:p>
      <w:pPr>
        <w:spacing w:after="0" w:line="360" w:lineRule="auto"/>
        <w:ind w:firstLine="142"/>
        <w:jc w:val="right"/>
        <w:rPr>
          <w:rFonts w:ascii="Times New Roman" w:hAnsi="Times New Roman"/>
          <w:b/>
          <w:bCs/>
          <w:sz w:val="28"/>
          <w:szCs w:val="28"/>
        </w:rPr>
      </w:pPr>
      <w:r>
        <w:rPr>
          <w:rFonts w:ascii="Times New Roman" w:hAnsi="Times New Roman"/>
          <w:b/>
          <w:bCs/>
          <w:sz w:val="28"/>
          <w:szCs w:val="28"/>
        </w:rPr>
        <w:t>Додаток 10</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Група з двох курганів понад шляхом с. Горошине – с. Мирони</w:t>
      </w:r>
    </w:p>
    <w:p>
      <w:pPr>
        <w:spacing w:after="0" w:line="360" w:lineRule="auto"/>
        <w:ind w:firstLine="397"/>
        <w:jc w:val="center"/>
        <w:rPr>
          <w:rFonts w:ascii="Times New Roman" w:hAnsi="Times New Roman"/>
          <w:b/>
          <w:bCs/>
          <w:sz w:val="28"/>
          <w:szCs w:val="28"/>
        </w:rPr>
      </w:pPr>
      <w:r>
        <w:rPr>
          <w:rFonts w:ascii="Times New Roman" w:hAnsi="Times New Roman"/>
          <w:b/>
          <w:bCs/>
          <w:sz w:val="28"/>
          <w:szCs w:val="28"/>
        </w:rPr>
        <w:t>на карті 1987 року</w:t>
      </w:r>
    </w:p>
    <w:p>
      <w:pPr>
        <w:spacing w:after="0" w:line="360" w:lineRule="auto"/>
        <w:ind w:firstLine="142"/>
        <w:jc w:val="center"/>
      </w:pPr>
      <w:r>
        <w:drawing>
          <wp:inline distT="0" distB="0" distL="114300" distR="114300">
            <wp:extent cx="5638800" cy="3710940"/>
            <wp:effectExtent l="0" t="0" r="0" b="1016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16"/>
                    <a:stretch>
                      <a:fillRect/>
                    </a:stretch>
                  </pic:blipFill>
                  <pic:spPr>
                    <a:xfrm>
                      <a:off x="0" y="0"/>
                      <a:ext cx="5638800" cy="3710940"/>
                    </a:xfrm>
                    <a:prstGeom prst="rect">
                      <a:avLst/>
                    </a:prstGeom>
                    <a:noFill/>
                    <a:ln>
                      <a:noFill/>
                    </a:ln>
                  </pic:spPr>
                </pic:pic>
              </a:graphicData>
            </a:graphic>
          </wp:inline>
        </w:drawing>
      </w:r>
    </w:p>
    <w:p>
      <w:pPr>
        <w:spacing w:after="0" w:line="360" w:lineRule="auto"/>
        <w:rPr>
          <w:rFonts w:ascii="Times New Roman" w:hAnsi="Times New Roman"/>
          <w:b/>
          <w:bCs/>
          <w:sz w:val="28"/>
          <w:szCs w:val="28"/>
        </w:rPr>
      </w:pPr>
    </w:p>
    <w:p>
      <w:pPr>
        <w:spacing w:after="0" w:line="360" w:lineRule="auto"/>
        <w:ind w:firstLine="142"/>
        <w:jc w:val="right"/>
        <w:rPr>
          <w:rFonts w:ascii="Times New Roman" w:hAnsi="Times New Roman"/>
          <w:b/>
          <w:bCs/>
          <w:sz w:val="28"/>
          <w:szCs w:val="28"/>
        </w:rPr>
      </w:pPr>
      <w:r>
        <w:rPr>
          <w:rFonts w:ascii="Times New Roman" w:hAnsi="Times New Roman"/>
          <w:b/>
          <w:bCs/>
          <w:sz w:val="28"/>
          <w:szCs w:val="28"/>
        </w:rPr>
        <w:t>Додаток 11</w:t>
      </w:r>
    </w:p>
    <w:p>
      <w:pPr>
        <w:spacing w:after="0" w:line="360" w:lineRule="auto"/>
        <w:ind w:firstLine="142"/>
        <w:jc w:val="right"/>
        <w:rPr>
          <w:rFonts w:ascii="Times New Roman" w:hAnsi="Times New Roman"/>
          <w:b/>
          <w:bCs/>
          <w:sz w:val="28"/>
          <w:szCs w:val="28"/>
        </w:rPr>
      </w:pPr>
      <w:r>
        <w:rPr>
          <w:rFonts w:ascii="Times New Roman" w:hAnsi="Times New Roman"/>
          <w:b/>
          <w:bCs/>
          <w:sz w:val="28"/>
          <w:szCs w:val="28"/>
        </w:rPr>
        <w:t>Залишки 2-го кургану групи понад шляхом с. Горошине – с. Мирони</w:t>
      </w:r>
    </w:p>
    <w:p>
      <w:pPr>
        <w:spacing w:after="0" w:line="360" w:lineRule="auto"/>
        <w:ind w:firstLine="142"/>
        <w:jc w:val="center"/>
        <w:rPr>
          <w:rFonts w:ascii="Times New Roman" w:hAnsi="Times New Roman"/>
          <w:b/>
          <w:bCs/>
          <w:sz w:val="28"/>
          <w:szCs w:val="28"/>
        </w:rPr>
      </w:pPr>
      <w:r>
        <w:drawing>
          <wp:inline distT="0" distB="0" distL="114300" distR="114300">
            <wp:extent cx="5775960" cy="3390900"/>
            <wp:effectExtent l="0" t="0" r="2540" b="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17"/>
                    <a:stretch>
                      <a:fillRect/>
                    </a:stretch>
                  </pic:blipFill>
                  <pic:spPr>
                    <a:xfrm>
                      <a:off x="0" y="0"/>
                      <a:ext cx="5775960" cy="3390900"/>
                    </a:xfrm>
                    <a:prstGeom prst="rect">
                      <a:avLst/>
                    </a:prstGeom>
                    <a:noFill/>
                    <a:ln>
                      <a:noFill/>
                    </a:ln>
                  </pic:spPr>
                </pic:pic>
              </a:graphicData>
            </a:graphic>
          </wp:inline>
        </w:drawing>
      </w:r>
    </w:p>
    <w:p>
      <w:pPr>
        <w:spacing w:after="0" w:line="360" w:lineRule="auto"/>
        <w:ind w:firstLine="142"/>
        <w:jc w:val="right"/>
        <w:rPr>
          <w:rFonts w:ascii="Times New Roman" w:hAnsi="Times New Roman"/>
          <w:b/>
          <w:bCs/>
          <w:sz w:val="28"/>
          <w:szCs w:val="28"/>
        </w:rPr>
      </w:pPr>
      <w:r>
        <w:rPr>
          <w:rFonts w:ascii="Times New Roman" w:hAnsi="Times New Roman"/>
          <w:b/>
          <w:bCs/>
          <w:sz w:val="28"/>
          <w:szCs w:val="28"/>
        </w:rPr>
        <w:t>Додаток 12</w:t>
      </w:r>
    </w:p>
    <w:p>
      <w:pPr>
        <w:spacing w:after="0" w:line="360" w:lineRule="auto"/>
        <w:ind w:firstLine="142"/>
        <w:jc w:val="center"/>
        <w:rPr>
          <w:rFonts w:ascii="Times New Roman" w:hAnsi="Times New Roman"/>
          <w:b/>
          <w:bCs/>
          <w:sz w:val="28"/>
          <w:szCs w:val="28"/>
        </w:rPr>
      </w:pPr>
      <w:r>
        <w:rPr>
          <w:rFonts w:ascii="Times New Roman" w:hAnsi="Times New Roman"/>
          <w:b/>
          <w:bCs/>
          <w:sz w:val="28"/>
          <w:szCs w:val="28"/>
        </w:rPr>
        <w:t>Курган понад дорогою с. Горошине – с. Гаївка</w:t>
      </w:r>
    </w:p>
    <w:p>
      <w:pPr>
        <w:spacing w:after="0" w:line="360" w:lineRule="auto"/>
        <w:ind w:firstLine="142"/>
        <w:jc w:val="center"/>
      </w:pPr>
      <w:r>
        <w:drawing>
          <wp:inline distT="0" distB="0" distL="114300" distR="114300">
            <wp:extent cx="5821680" cy="3093720"/>
            <wp:effectExtent l="0" t="0" r="7620" b="508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8"/>
                    <a:stretch>
                      <a:fillRect/>
                    </a:stretch>
                  </pic:blipFill>
                  <pic:spPr>
                    <a:xfrm>
                      <a:off x="0" y="0"/>
                      <a:ext cx="5821680" cy="3093720"/>
                    </a:xfrm>
                    <a:prstGeom prst="rect">
                      <a:avLst/>
                    </a:prstGeom>
                    <a:noFill/>
                    <a:ln>
                      <a:noFill/>
                    </a:ln>
                  </pic:spPr>
                </pic:pic>
              </a:graphicData>
            </a:graphic>
          </wp:inline>
        </w:drawing>
      </w:r>
    </w:p>
    <w:p>
      <w:pPr>
        <w:spacing w:after="0" w:line="360" w:lineRule="auto"/>
        <w:ind w:firstLine="142"/>
        <w:jc w:val="center"/>
      </w:pPr>
    </w:p>
    <w:sectPr>
      <w:footerReference r:id="rId5" w:type="default"/>
      <w:pgSz w:w="11906" w:h="16838"/>
      <w:pgMar w:top="851" w:right="851" w:bottom="851"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ptos">
    <w:altName w:val="Segoe Print"/>
    <w:panose1 w:val="00000000000000000000"/>
    <w:charset w:val="00"/>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t>2</w:t>
    </w:r>
    <w:r>
      <w:fldChar w:fldCharType="end"/>
    </w:r>
  </w:p>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NotTrackMoves/>
  <w:documentProtection w:enforcement="0"/>
  <w:defaultTabStop w:val="708"/>
  <w:hyphenationZone w:val="425"/>
  <w:characterSpacingControl w:val="doNotCompress"/>
  <w:footnotePr>
    <w:footnote w:id="0"/>
    <w:footnote w:id="1"/>
  </w:footnotePr>
  <w:endnotePr>
    <w:endnote w:id="0"/>
    <w:endnote w:id="1"/>
  </w:endnotePr>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3F"/>
    <w:rsid w:val="00000085"/>
    <w:rsid w:val="000016E0"/>
    <w:rsid w:val="00001DB9"/>
    <w:rsid w:val="000023BE"/>
    <w:rsid w:val="0000258B"/>
    <w:rsid w:val="000119D4"/>
    <w:rsid w:val="00011A0F"/>
    <w:rsid w:val="00015106"/>
    <w:rsid w:val="00017773"/>
    <w:rsid w:val="00017A51"/>
    <w:rsid w:val="00027878"/>
    <w:rsid w:val="00034DBD"/>
    <w:rsid w:val="00035EA9"/>
    <w:rsid w:val="00040185"/>
    <w:rsid w:val="00041685"/>
    <w:rsid w:val="00044935"/>
    <w:rsid w:val="00047588"/>
    <w:rsid w:val="0005117A"/>
    <w:rsid w:val="0005669B"/>
    <w:rsid w:val="000620A0"/>
    <w:rsid w:val="00064CDA"/>
    <w:rsid w:val="0006558F"/>
    <w:rsid w:val="00066725"/>
    <w:rsid w:val="00070939"/>
    <w:rsid w:val="000805B9"/>
    <w:rsid w:val="00090B37"/>
    <w:rsid w:val="00092D14"/>
    <w:rsid w:val="000942C1"/>
    <w:rsid w:val="000948F3"/>
    <w:rsid w:val="000958F9"/>
    <w:rsid w:val="00096C1C"/>
    <w:rsid w:val="000A0DE3"/>
    <w:rsid w:val="000A3967"/>
    <w:rsid w:val="000A5A18"/>
    <w:rsid w:val="000A7CE3"/>
    <w:rsid w:val="000B146E"/>
    <w:rsid w:val="000B49AE"/>
    <w:rsid w:val="000C1994"/>
    <w:rsid w:val="000C26A5"/>
    <w:rsid w:val="000C51B0"/>
    <w:rsid w:val="000D089C"/>
    <w:rsid w:val="000D16B9"/>
    <w:rsid w:val="000D2A9F"/>
    <w:rsid w:val="000D4F46"/>
    <w:rsid w:val="000E13B6"/>
    <w:rsid w:val="000E66DB"/>
    <w:rsid w:val="000F444F"/>
    <w:rsid w:val="0010033D"/>
    <w:rsid w:val="00107251"/>
    <w:rsid w:val="00116307"/>
    <w:rsid w:val="001211C4"/>
    <w:rsid w:val="00122E1E"/>
    <w:rsid w:val="0013034E"/>
    <w:rsid w:val="00130FDB"/>
    <w:rsid w:val="0013750D"/>
    <w:rsid w:val="0014638C"/>
    <w:rsid w:val="00150519"/>
    <w:rsid w:val="00155DEB"/>
    <w:rsid w:val="001569CF"/>
    <w:rsid w:val="00166BCA"/>
    <w:rsid w:val="00171800"/>
    <w:rsid w:val="001726A5"/>
    <w:rsid w:val="0017298C"/>
    <w:rsid w:val="00177FBD"/>
    <w:rsid w:val="001843B9"/>
    <w:rsid w:val="00193F4C"/>
    <w:rsid w:val="001A237D"/>
    <w:rsid w:val="001A2B52"/>
    <w:rsid w:val="001A3F9A"/>
    <w:rsid w:val="001A5EC9"/>
    <w:rsid w:val="001B129A"/>
    <w:rsid w:val="001B1ED1"/>
    <w:rsid w:val="001B3F68"/>
    <w:rsid w:val="001B5E39"/>
    <w:rsid w:val="001B7630"/>
    <w:rsid w:val="001C014E"/>
    <w:rsid w:val="001C7789"/>
    <w:rsid w:val="001C7DA3"/>
    <w:rsid w:val="001D33E3"/>
    <w:rsid w:val="001D4230"/>
    <w:rsid w:val="001D4BEC"/>
    <w:rsid w:val="001D7BB0"/>
    <w:rsid w:val="001F1F0C"/>
    <w:rsid w:val="001F3767"/>
    <w:rsid w:val="001F3B96"/>
    <w:rsid w:val="00201CC1"/>
    <w:rsid w:val="00210AA7"/>
    <w:rsid w:val="00212C2F"/>
    <w:rsid w:val="00214F97"/>
    <w:rsid w:val="00216CCA"/>
    <w:rsid w:val="00217BD2"/>
    <w:rsid w:val="0022004E"/>
    <w:rsid w:val="002308D6"/>
    <w:rsid w:val="0023197A"/>
    <w:rsid w:val="0023779A"/>
    <w:rsid w:val="00237B49"/>
    <w:rsid w:val="00247106"/>
    <w:rsid w:val="00254D99"/>
    <w:rsid w:val="00257E83"/>
    <w:rsid w:val="00264C6D"/>
    <w:rsid w:val="00265536"/>
    <w:rsid w:val="002663F1"/>
    <w:rsid w:val="00266EDA"/>
    <w:rsid w:val="002671F5"/>
    <w:rsid w:val="00275492"/>
    <w:rsid w:val="002773E0"/>
    <w:rsid w:val="00280B03"/>
    <w:rsid w:val="00280B72"/>
    <w:rsid w:val="002814F2"/>
    <w:rsid w:val="002839AB"/>
    <w:rsid w:val="00283D2B"/>
    <w:rsid w:val="002842DB"/>
    <w:rsid w:val="00287614"/>
    <w:rsid w:val="0029229F"/>
    <w:rsid w:val="002964AE"/>
    <w:rsid w:val="002964F1"/>
    <w:rsid w:val="00296E71"/>
    <w:rsid w:val="002A10A7"/>
    <w:rsid w:val="002B1246"/>
    <w:rsid w:val="002B2D8B"/>
    <w:rsid w:val="002B3C6C"/>
    <w:rsid w:val="002B580A"/>
    <w:rsid w:val="002B5F91"/>
    <w:rsid w:val="002C1119"/>
    <w:rsid w:val="002C6C23"/>
    <w:rsid w:val="002C728F"/>
    <w:rsid w:val="002D1F44"/>
    <w:rsid w:val="002D7124"/>
    <w:rsid w:val="002E0D9C"/>
    <w:rsid w:val="002F055A"/>
    <w:rsid w:val="003008B0"/>
    <w:rsid w:val="00301E8E"/>
    <w:rsid w:val="003041F6"/>
    <w:rsid w:val="00313017"/>
    <w:rsid w:val="00313C57"/>
    <w:rsid w:val="003174F2"/>
    <w:rsid w:val="00320FB4"/>
    <w:rsid w:val="00320FE4"/>
    <w:rsid w:val="0032517B"/>
    <w:rsid w:val="00325B84"/>
    <w:rsid w:val="00326F9C"/>
    <w:rsid w:val="00334B76"/>
    <w:rsid w:val="00335184"/>
    <w:rsid w:val="00340583"/>
    <w:rsid w:val="00342371"/>
    <w:rsid w:val="003447F9"/>
    <w:rsid w:val="00350DF8"/>
    <w:rsid w:val="003542AF"/>
    <w:rsid w:val="00356857"/>
    <w:rsid w:val="00357F22"/>
    <w:rsid w:val="00366821"/>
    <w:rsid w:val="003712EE"/>
    <w:rsid w:val="00371BBD"/>
    <w:rsid w:val="00374D45"/>
    <w:rsid w:val="00377847"/>
    <w:rsid w:val="00377C48"/>
    <w:rsid w:val="00382050"/>
    <w:rsid w:val="0039047F"/>
    <w:rsid w:val="00390767"/>
    <w:rsid w:val="00392A2F"/>
    <w:rsid w:val="0039527B"/>
    <w:rsid w:val="00395FAA"/>
    <w:rsid w:val="003A12C9"/>
    <w:rsid w:val="003A132E"/>
    <w:rsid w:val="003A1B37"/>
    <w:rsid w:val="003A4D5E"/>
    <w:rsid w:val="003A53FD"/>
    <w:rsid w:val="003A693B"/>
    <w:rsid w:val="003A7321"/>
    <w:rsid w:val="003B075D"/>
    <w:rsid w:val="003B6A8E"/>
    <w:rsid w:val="003B7529"/>
    <w:rsid w:val="003B7CB7"/>
    <w:rsid w:val="003C1B03"/>
    <w:rsid w:val="003C4614"/>
    <w:rsid w:val="003C47F4"/>
    <w:rsid w:val="003C48C5"/>
    <w:rsid w:val="003C4CE7"/>
    <w:rsid w:val="003C6E79"/>
    <w:rsid w:val="003D2E37"/>
    <w:rsid w:val="003E05C8"/>
    <w:rsid w:val="003E2515"/>
    <w:rsid w:val="003E515E"/>
    <w:rsid w:val="003F16FD"/>
    <w:rsid w:val="003F21E0"/>
    <w:rsid w:val="003F2F6C"/>
    <w:rsid w:val="003F3E9B"/>
    <w:rsid w:val="003F3F0B"/>
    <w:rsid w:val="00401EAF"/>
    <w:rsid w:val="00403D6C"/>
    <w:rsid w:val="004063A6"/>
    <w:rsid w:val="004133DF"/>
    <w:rsid w:val="00414984"/>
    <w:rsid w:val="00416112"/>
    <w:rsid w:val="0042035B"/>
    <w:rsid w:val="00420D62"/>
    <w:rsid w:val="00421B26"/>
    <w:rsid w:val="004229FC"/>
    <w:rsid w:val="0042666E"/>
    <w:rsid w:val="00431044"/>
    <w:rsid w:val="00436698"/>
    <w:rsid w:val="00440ACB"/>
    <w:rsid w:val="0044165A"/>
    <w:rsid w:val="004438C4"/>
    <w:rsid w:val="00443F89"/>
    <w:rsid w:val="004473E7"/>
    <w:rsid w:val="00452395"/>
    <w:rsid w:val="0045512B"/>
    <w:rsid w:val="00471039"/>
    <w:rsid w:val="00475F64"/>
    <w:rsid w:val="00476369"/>
    <w:rsid w:val="00476458"/>
    <w:rsid w:val="00481CD0"/>
    <w:rsid w:val="00482C44"/>
    <w:rsid w:val="00482C5F"/>
    <w:rsid w:val="004907E9"/>
    <w:rsid w:val="00490F28"/>
    <w:rsid w:val="00493A05"/>
    <w:rsid w:val="0049795D"/>
    <w:rsid w:val="004A49B6"/>
    <w:rsid w:val="004A4F22"/>
    <w:rsid w:val="004A69A5"/>
    <w:rsid w:val="004C0BBE"/>
    <w:rsid w:val="004C36CC"/>
    <w:rsid w:val="004C4A82"/>
    <w:rsid w:val="004D0BD4"/>
    <w:rsid w:val="004D2FFB"/>
    <w:rsid w:val="004D5F1F"/>
    <w:rsid w:val="004E1490"/>
    <w:rsid w:val="004E37F5"/>
    <w:rsid w:val="004E448A"/>
    <w:rsid w:val="004F3C94"/>
    <w:rsid w:val="004F53F3"/>
    <w:rsid w:val="005012B6"/>
    <w:rsid w:val="00502963"/>
    <w:rsid w:val="00503942"/>
    <w:rsid w:val="00504551"/>
    <w:rsid w:val="00511D8B"/>
    <w:rsid w:val="00520176"/>
    <w:rsid w:val="00522BDB"/>
    <w:rsid w:val="00527A61"/>
    <w:rsid w:val="00527C83"/>
    <w:rsid w:val="00536BF3"/>
    <w:rsid w:val="00541710"/>
    <w:rsid w:val="00543722"/>
    <w:rsid w:val="00544937"/>
    <w:rsid w:val="00547741"/>
    <w:rsid w:val="00550687"/>
    <w:rsid w:val="00557876"/>
    <w:rsid w:val="00563DC1"/>
    <w:rsid w:val="0056717C"/>
    <w:rsid w:val="0057011E"/>
    <w:rsid w:val="005725B1"/>
    <w:rsid w:val="005735E2"/>
    <w:rsid w:val="0058072D"/>
    <w:rsid w:val="00582DA1"/>
    <w:rsid w:val="00584888"/>
    <w:rsid w:val="00595926"/>
    <w:rsid w:val="00596E7E"/>
    <w:rsid w:val="00597716"/>
    <w:rsid w:val="005A42AD"/>
    <w:rsid w:val="005B232E"/>
    <w:rsid w:val="005B4F2B"/>
    <w:rsid w:val="005B5F51"/>
    <w:rsid w:val="005C455A"/>
    <w:rsid w:val="005C7590"/>
    <w:rsid w:val="005C7BE4"/>
    <w:rsid w:val="005D62DE"/>
    <w:rsid w:val="005E0CEC"/>
    <w:rsid w:val="005E1993"/>
    <w:rsid w:val="005E1C3A"/>
    <w:rsid w:val="005E25F0"/>
    <w:rsid w:val="005E3B93"/>
    <w:rsid w:val="005E59CA"/>
    <w:rsid w:val="005F1A5A"/>
    <w:rsid w:val="005F2D00"/>
    <w:rsid w:val="00605198"/>
    <w:rsid w:val="0060524C"/>
    <w:rsid w:val="0060636A"/>
    <w:rsid w:val="006224CA"/>
    <w:rsid w:val="00630215"/>
    <w:rsid w:val="00630E02"/>
    <w:rsid w:val="00630FC5"/>
    <w:rsid w:val="00631744"/>
    <w:rsid w:val="006370CC"/>
    <w:rsid w:val="00640879"/>
    <w:rsid w:val="006431D6"/>
    <w:rsid w:val="00650888"/>
    <w:rsid w:val="00652519"/>
    <w:rsid w:val="006566FE"/>
    <w:rsid w:val="00671EE8"/>
    <w:rsid w:val="00672008"/>
    <w:rsid w:val="00672908"/>
    <w:rsid w:val="00677347"/>
    <w:rsid w:val="00680BF3"/>
    <w:rsid w:val="00680CF4"/>
    <w:rsid w:val="006858A0"/>
    <w:rsid w:val="00685FF4"/>
    <w:rsid w:val="00686393"/>
    <w:rsid w:val="0069275E"/>
    <w:rsid w:val="006951FD"/>
    <w:rsid w:val="006A5549"/>
    <w:rsid w:val="006B3D8D"/>
    <w:rsid w:val="006B52C9"/>
    <w:rsid w:val="006C22EC"/>
    <w:rsid w:val="006C5534"/>
    <w:rsid w:val="006C6560"/>
    <w:rsid w:val="006C7E2C"/>
    <w:rsid w:val="006D0DD7"/>
    <w:rsid w:val="006D1D0C"/>
    <w:rsid w:val="006D5338"/>
    <w:rsid w:val="006D56CC"/>
    <w:rsid w:val="006E35A6"/>
    <w:rsid w:val="006E7172"/>
    <w:rsid w:val="006F04C4"/>
    <w:rsid w:val="007026AB"/>
    <w:rsid w:val="007067FE"/>
    <w:rsid w:val="00706DB9"/>
    <w:rsid w:val="00706DF2"/>
    <w:rsid w:val="00707417"/>
    <w:rsid w:val="007210FB"/>
    <w:rsid w:val="00721B86"/>
    <w:rsid w:val="007238C5"/>
    <w:rsid w:val="00725419"/>
    <w:rsid w:val="00726042"/>
    <w:rsid w:val="007263D4"/>
    <w:rsid w:val="007274A2"/>
    <w:rsid w:val="00731DA7"/>
    <w:rsid w:val="00731E08"/>
    <w:rsid w:val="00733B36"/>
    <w:rsid w:val="00735CA6"/>
    <w:rsid w:val="007417B6"/>
    <w:rsid w:val="00742D34"/>
    <w:rsid w:val="00745EC0"/>
    <w:rsid w:val="00746081"/>
    <w:rsid w:val="0075235C"/>
    <w:rsid w:val="00752AA5"/>
    <w:rsid w:val="00756192"/>
    <w:rsid w:val="00756C7C"/>
    <w:rsid w:val="00757B45"/>
    <w:rsid w:val="00761259"/>
    <w:rsid w:val="00761A17"/>
    <w:rsid w:val="00761CF9"/>
    <w:rsid w:val="00765820"/>
    <w:rsid w:val="00765FDD"/>
    <w:rsid w:val="007709C7"/>
    <w:rsid w:val="007756C0"/>
    <w:rsid w:val="00780930"/>
    <w:rsid w:val="00782284"/>
    <w:rsid w:val="00783478"/>
    <w:rsid w:val="00784BC9"/>
    <w:rsid w:val="0078781B"/>
    <w:rsid w:val="00787F07"/>
    <w:rsid w:val="00790BE2"/>
    <w:rsid w:val="00795D8F"/>
    <w:rsid w:val="00795DF1"/>
    <w:rsid w:val="00796808"/>
    <w:rsid w:val="00797CBB"/>
    <w:rsid w:val="007A010E"/>
    <w:rsid w:val="007A02ED"/>
    <w:rsid w:val="007A121F"/>
    <w:rsid w:val="007A5AAD"/>
    <w:rsid w:val="007A5B1B"/>
    <w:rsid w:val="007B3DE3"/>
    <w:rsid w:val="007B44B7"/>
    <w:rsid w:val="007C04B3"/>
    <w:rsid w:val="007C1BFD"/>
    <w:rsid w:val="007C26DF"/>
    <w:rsid w:val="007C377B"/>
    <w:rsid w:val="007C42BD"/>
    <w:rsid w:val="007D0DB8"/>
    <w:rsid w:val="007D33AE"/>
    <w:rsid w:val="007D450A"/>
    <w:rsid w:val="007D5B8C"/>
    <w:rsid w:val="007E1FB1"/>
    <w:rsid w:val="007E250D"/>
    <w:rsid w:val="007E457F"/>
    <w:rsid w:val="007F3088"/>
    <w:rsid w:val="0080088B"/>
    <w:rsid w:val="00801E7E"/>
    <w:rsid w:val="00802488"/>
    <w:rsid w:val="00811D5D"/>
    <w:rsid w:val="008142EB"/>
    <w:rsid w:val="0082006B"/>
    <w:rsid w:val="00823499"/>
    <w:rsid w:val="00823E57"/>
    <w:rsid w:val="00824A2D"/>
    <w:rsid w:val="00826598"/>
    <w:rsid w:val="00827C21"/>
    <w:rsid w:val="00830311"/>
    <w:rsid w:val="00830406"/>
    <w:rsid w:val="00834921"/>
    <w:rsid w:val="0083631D"/>
    <w:rsid w:val="00836C09"/>
    <w:rsid w:val="0083717C"/>
    <w:rsid w:val="008406B5"/>
    <w:rsid w:val="00842230"/>
    <w:rsid w:val="00843B1D"/>
    <w:rsid w:val="00845491"/>
    <w:rsid w:val="0084615E"/>
    <w:rsid w:val="00855C93"/>
    <w:rsid w:val="008578F4"/>
    <w:rsid w:val="00861108"/>
    <w:rsid w:val="00864CF3"/>
    <w:rsid w:val="0086785B"/>
    <w:rsid w:val="00870DB1"/>
    <w:rsid w:val="00873E7F"/>
    <w:rsid w:val="00876428"/>
    <w:rsid w:val="00883CB2"/>
    <w:rsid w:val="008902F6"/>
    <w:rsid w:val="0089127C"/>
    <w:rsid w:val="008937DB"/>
    <w:rsid w:val="00893C47"/>
    <w:rsid w:val="008A0512"/>
    <w:rsid w:val="008A0B79"/>
    <w:rsid w:val="008A1610"/>
    <w:rsid w:val="008A6317"/>
    <w:rsid w:val="008A67EB"/>
    <w:rsid w:val="008A72CE"/>
    <w:rsid w:val="008B1B99"/>
    <w:rsid w:val="008B4677"/>
    <w:rsid w:val="008B5B7A"/>
    <w:rsid w:val="008B6F04"/>
    <w:rsid w:val="008B793A"/>
    <w:rsid w:val="008C0868"/>
    <w:rsid w:val="008C0B2B"/>
    <w:rsid w:val="008C623B"/>
    <w:rsid w:val="008D0563"/>
    <w:rsid w:val="008D2820"/>
    <w:rsid w:val="008D361B"/>
    <w:rsid w:val="008D3C3A"/>
    <w:rsid w:val="008D3DBF"/>
    <w:rsid w:val="008D5145"/>
    <w:rsid w:val="008D685B"/>
    <w:rsid w:val="008E0FE2"/>
    <w:rsid w:val="008E2722"/>
    <w:rsid w:val="008E3B12"/>
    <w:rsid w:val="008E6382"/>
    <w:rsid w:val="008F158D"/>
    <w:rsid w:val="008F237A"/>
    <w:rsid w:val="008F6FB0"/>
    <w:rsid w:val="0090349C"/>
    <w:rsid w:val="00903B8B"/>
    <w:rsid w:val="00903F65"/>
    <w:rsid w:val="00907FD3"/>
    <w:rsid w:val="00915063"/>
    <w:rsid w:val="009228D2"/>
    <w:rsid w:val="009275F0"/>
    <w:rsid w:val="00930580"/>
    <w:rsid w:val="0093651F"/>
    <w:rsid w:val="0094377F"/>
    <w:rsid w:val="009517F5"/>
    <w:rsid w:val="00952AC6"/>
    <w:rsid w:val="00953D5B"/>
    <w:rsid w:val="00953EEF"/>
    <w:rsid w:val="0095470D"/>
    <w:rsid w:val="00965975"/>
    <w:rsid w:val="00971E93"/>
    <w:rsid w:val="00973CA2"/>
    <w:rsid w:val="00976D5F"/>
    <w:rsid w:val="009771D8"/>
    <w:rsid w:val="009828D7"/>
    <w:rsid w:val="009842A5"/>
    <w:rsid w:val="00985C55"/>
    <w:rsid w:val="00993ACC"/>
    <w:rsid w:val="009970F2"/>
    <w:rsid w:val="009A223F"/>
    <w:rsid w:val="009B135E"/>
    <w:rsid w:val="009B1AB9"/>
    <w:rsid w:val="009B37F4"/>
    <w:rsid w:val="009B7465"/>
    <w:rsid w:val="009C78D2"/>
    <w:rsid w:val="009D29D4"/>
    <w:rsid w:val="009D4E0F"/>
    <w:rsid w:val="009E23C0"/>
    <w:rsid w:val="009E5EE8"/>
    <w:rsid w:val="009E6B26"/>
    <w:rsid w:val="009E6EC7"/>
    <w:rsid w:val="009F09EF"/>
    <w:rsid w:val="00A02C10"/>
    <w:rsid w:val="00A03021"/>
    <w:rsid w:val="00A03983"/>
    <w:rsid w:val="00A14784"/>
    <w:rsid w:val="00A14804"/>
    <w:rsid w:val="00A21692"/>
    <w:rsid w:val="00A33CF1"/>
    <w:rsid w:val="00A378EB"/>
    <w:rsid w:val="00A4010E"/>
    <w:rsid w:val="00A470E0"/>
    <w:rsid w:val="00A50194"/>
    <w:rsid w:val="00A60092"/>
    <w:rsid w:val="00A60C13"/>
    <w:rsid w:val="00A623D1"/>
    <w:rsid w:val="00A652D4"/>
    <w:rsid w:val="00A66011"/>
    <w:rsid w:val="00A67369"/>
    <w:rsid w:val="00A67D62"/>
    <w:rsid w:val="00A7334A"/>
    <w:rsid w:val="00A74D47"/>
    <w:rsid w:val="00A75CE9"/>
    <w:rsid w:val="00A75D1E"/>
    <w:rsid w:val="00A77E82"/>
    <w:rsid w:val="00A81475"/>
    <w:rsid w:val="00A86F2E"/>
    <w:rsid w:val="00A87CF1"/>
    <w:rsid w:val="00A973DE"/>
    <w:rsid w:val="00A976AE"/>
    <w:rsid w:val="00A97C98"/>
    <w:rsid w:val="00AA0C88"/>
    <w:rsid w:val="00AA21CE"/>
    <w:rsid w:val="00AA4044"/>
    <w:rsid w:val="00AB0956"/>
    <w:rsid w:val="00AB440A"/>
    <w:rsid w:val="00AC2196"/>
    <w:rsid w:val="00AC2EC6"/>
    <w:rsid w:val="00AC32FA"/>
    <w:rsid w:val="00AC731B"/>
    <w:rsid w:val="00AD0A75"/>
    <w:rsid w:val="00AD2BF7"/>
    <w:rsid w:val="00AD37A6"/>
    <w:rsid w:val="00AD4A9C"/>
    <w:rsid w:val="00AD5DFB"/>
    <w:rsid w:val="00AE3285"/>
    <w:rsid w:val="00AE400C"/>
    <w:rsid w:val="00AE56EE"/>
    <w:rsid w:val="00AE701C"/>
    <w:rsid w:val="00AE78A3"/>
    <w:rsid w:val="00AF68E0"/>
    <w:rsid w:val="00AF794A"/>
    <w:rsid w:val="00B01163"/>
    <w:rsid w:val="00B0163E"/>
    <w:rsid w:val="00B03594"/>
    <w:rsid w:val="00B03D7D"/>
    <w:rsid w:val="00B116AA"/>
    <w:rsid w:val="00B26970"/>
    <w:rsid w:val="00B331CD"/>
    <w:rsid w:val="00B33CBD"/>
    <w:rsid w:val="00B377FC"/>
    <w:rsid w:val="00B40A98"/>
    <w:rsid w:val="00B4297F"/>
    <w:rsid w:val="00B509C0"/>
    <w:rsid w:val="00B52DC1"/>
    <w:rsid w:val="00B53CCF"/>
    <w:rsid w:val="00B54C0C"/>
    <w:rsid w:val="00B55BF0"/>
    <w:rsid w:val="00B602E2"/>
    <w:rsid w:val="00B65B9A"/>
    <w:rsid w:val="00B70091"/>
    <w:rsid w:val="00B806F6"/>
    <w:rsid w:val="00B9264C"/>
    <w:rsid w:val="00B969F7"/>
    <w:rsid w:val="00BA0803"/>
    <w:rsid w:val="00BA0C1F"/>
    <w:rsid w:val="00BA127B"/>
    <w:rsid w:val="00BA1525"/>
    <w:rsid w:val="00BA23A2"/>
    <w:rsid w:val="00BA499A"/>
    <w:rsid w:val="00BA542E"/>
    <w:rsid w:val="00BA6E05"/>
    <w:rsid w:val="00BB56EC"/>
    <w:rsid w:val="00BB5B8B"/>
    <w:rsid w:val="00BC43A8"/>
    <w:rsid w:val="00BC5135"/>
    <w:rsid w:val="00BC623B"/>
    <w:rsid w:val="00BC7B0F"/>
    <w:rsid w:val="00BD0060"/>
    <w:rsid w:val="00BD31BA"/>
    <w:rsid w:val="00BD587D"/>
    <w:rsid w:val="00BD5A25"/>
    <w:rsid w:val="00BD7235"/>
    <w:rsid w:val="00BE24D7"/>
    <w:rsid w:val="00BE39B5"/>
    <w:rsid w:val="00BE75C9"/>
    <w:rsid w:val="00BE7884"/>
    <w:rsid w:val="00BF177C"/>
    <w:rsid w:val="00BF39D8"/>
    <w:rsid w:val="00BF40E1"/>
    <w:rsid w:val="00BF60BA"/>
    <w:rsid w:val="00C013BA"/>
    <w:rsid w:val="00C0359A"/>
    <w:rsid w:val="00C052CC"/>
    <w:rsid w:val="00C07A8D"/>
    <w:rsid w:val="00C144CC"/>
    <w:rsid w:val="00C14BF8"/>
    <w:rsid w:val="00C170F1"/>
    <w:rsid w:val="00C204BC"/>
    <w:rsid w:val="00C21E9F"/>
    <w:rsid w:val="00C2521B"/>
    <w:rsid w:val="00C404F3"/>
    <w:rsid w:val="00C41269"/>
    <w:rsid w:val="00C416A3"/>
    <w:rsid w:val="00C449C9"/>
    <w:rsid w:val="00C454AD"/>
    <w:rsid w:val="00C52809"/>
    <w:rsid w:val="00C52F36"/>
    <w:rsid w:val="00C55F04"/>
    <w:rsid w:val="00C56761"/>
    <w:rsid w:val="00C62633"/>
    <w:rsid w:val="00C6374F"/>
    <w:rsid w:val="00C63E73"/>
    <w:rsid w:val="00C71A24"/>
    <w:rsid w:val="00C71AC7"/>
    <w:rsid w:val="00C82F06"/>
    <w:rsid w:val="00C85104"/>
    <w:rsid w:val="00C872DC"/>
    <w:rsid w:val="00C922F5"/>
    <w:rsid w:val="00C92C93"/>
    <w:rsid w:val="00C93FA2"/>
    <w:rsid w:val="00C9787F"/>
    <w:rsid w:val="00CA30F5"/>
    <w:rsid w:val="00CA396A"/>
    <w:rsid w:val="00CA5094"/>
    <w:rsid w:val="00CB0409"/>
    <w:rsid w:val="00CB3E99"/>
    <w:rsid w:val="00CB3FA8"/>
    <w:rsid w:val="00CB40E8"/>
    <w:rsid w:val="00CB5CB3"/>
    <w:rsid w:val="00CB6A47"/>
    <w:rsid w:val="00CC26EB"/>
    <w:rsid w:val="00CC7779"/>
    <w:rsid w:val="00CD1983"/>
    <w:rsid w:val="00CE0E84"/>
    <w:rsid w:val="00CE133B"/>
    <w:rsid w:val="00CE2E18"/>
    <w:rsid w:val="00CE5194"/>
    <w:rsid w:val="00CF019F"/>
    <w:rsid w:val="00D016D6"/>
    <w:rsid w:val="00D01810"/>
    <w:rsid w:val="00D0449E"/>
    <w:rsid w:val="00D057BC"/>
    <w:rsid w:val="00D0799F"/>
    <w:rsid w:val="00D116FB"/>
    <w:rsid w:val="00D13EB9"/>
    <w:rsid w:val="00D147F0"/>
    <w:rsid w:val="00D15204"/>
    <w:rsid w:val="00D20A3F"/>
    <w:rsid w:val="00D2210D"/>
    <w:rsid w:val="00D22F30"/>
    <w:rsid w:val="00D27ACB"/>
    <w:rsid w:val="00D30A47"/>
    <w:rsid w:val="00D31247"/>
    <w:rsid w:val="00D313CE"/>
    <w:rsid w:val="00D33200"/>
    <w:rsid w:val="00D33857"/>
    <w:rsid w:val="00D431BE"/>
    <w:rsid w:val="00D47084"/>
    <w:rsid w:val="00D474A2"/>
    <w:rsid w:val="00D536FF"/>
    <w:rsid w:val="00D54E9B"/>
    <w:rsid w:val="00D57D32"/>
    <w:rsid w:val="00D634FE"/>
    <w:rsid w:val="00D64B48"/>
    <w:rsid w:val="00D6682D"/>
    <w:rsid w:val="00D73475"/>
    <w:rsid w:val="00D7595B"/>
    <w:rsid w:val="00D8110F"/>
    <w:rsid w:val="00D817F5"/>
    <w:rsid w:val="00D827E6"/>
    <w:rsid w:val="00D90B4C"/>
    <w:rsid w:val="00D93A67"/>
    <w:rsid w:val="00D951FD"/>
    <w:rsid w:val="00D95BA2"/>
    <w:rsid w:val="00D977F4"/>
    <w:rsid w:val="00DA3DDA"/>
    <w:rsid w:val="00DA6910"/>
    <w:rsid w:val="00DB4287"/>
    <w:rsid w:val="00DB4944"/>
    <w:rsid w:val="00DB4D5A"/>
    <w:rsid w:val="00DB68C8"/>
    <w:rsid w:val="00DC2DC0"/>
    <w:rsid w:val="00DC7828"/>
    <w:rsid w:val="00DD0EB5"/>
    <w:rsid w:val="00DD1A64"/>
    <w:rsid w:val="00DD28F9"/>
    <w:rsid w:val="00DD3C7C"/>
    <w:rsid w:val="00DD5BAA"/>
    <w:rsid w:val="00DD6F45"/>
    <w:rsid w:val="00DD7C2B"/>
    <w:rsid w:val="00DE16B1"/>
    <w:rsid w:val="00DE2B9C"/>
    <w:rsid w:val="00DF08D7"/>
    <w:rsid w:val="00DF548B"/>
    <w:rsid w:val="00E00A92"/>
    <w:rsid w:val="00E02396"/>
    <w:rsid w:val="00E032E4"/>
    <w:rsid w:val="00E03F88"/>
    <w:rsid w:val="00E05C22"/>
    <w:rsid w:val="00E06CA6"/>
    <w:rsid w:val="00E10759"/>
    <w:rsid w:val="00E10D7C"/>
    <w:rsid w:val="00E121DD"/>
    <w:rsid w:val="00E127B4"/>
    <w:rsid w:val="00E1422C"/>
    <w:rsid w:val="00E17FB1"/>
    <w:rsid w:val="00E22A35"/>
    <w:rsid w:val="00E233C8"/>
    <w:rsid w:val="00E26637"/>
    <w:rsid w:val="00E26BE7"/>
    <w:rsid w:val="00E32CBB"/>
    <w:rsid w:val="00E33198"/>
    <w:rsid w:val="00E409BA"/>
    <w:rsid w:val="00E40DB2"/>
    <w:rsid w:val="00E421EA"/>
    <w:rsid w:val="00E502AB"/>
    <w:rsid w:val="00E50F96"/>
    <w:rsid w:val="00E606A1"/>
    <w:rsid w:val="00E626BC"/>
    <w:rsid w:val="00E63749"/>
    <w:rsid w:val="00E63CE1"/>
    <w:rsid w:val="00E6426B"/>
    <w:rsid w:val="00E750B1"/>
    <w:rsid w:val="00E752E6"/>
    <w:rsid w:val="00E7638C"/>
    <w:rsid w:val="00E857FE"/>
    <w:rsid w:val="00E8755A"/>
    <w:rsid w:val="00EB061E"/>
    <w:rsid w:val="00EB0E3C"/>
    <w:rsid w:val="00EB125A"/>
    <w:rsid w:val="00EB2688"/>
    <w:rsid w:val="00EC2CF9"/>
    <w:rsid w:val="00ED1410"/>
    <w:rsid w:val="00ED1A19"/>
    <w:rsid w:val="00EE279A"/>
    <w:rsid w:val="00EE2ABA"/>
    <w:rsid w:val="00EE3BB8"/>
    <w:rsid w:val="00EE67BF"/>
    <w:rsid w:val="00EF014C"/>
    <w:rsid w:val="00EF6902"/>
    <w:rsid w:val="00F033D7"/>
    <w:rsid w:val="00F13AD8"/>
    <w:rsid w:val="00F146FC"/>
    <w:rsid w:val="00F14847"/>
    <w:rsid w:val="00F15053"/>
    <w:rsid w:val="00F160A9"/>
    <w:rsid w:val="00F17144"/>
    <w:rsid w:val="00F23C8C"/>
    <w:rsid w:val="00F26D70"/>
    <w:rsid w:val="00F273D6"/>
    <w:rsid w:val="00F27B20"/>
    <w:rsid w:val="00F27C2B"/>
    <w:rsid w:val="00F32B65"/>
    <w:rsid w:val="00F3413D"/>
    <w:rsid w:val="00F34328"/>
    <w:rsid w:val="00F34842"/>
    <w:rsid w:val="00F356F1"/>
    <w:rsid w:val="00F36859"/>
    <w:rsid w:val="00F435D9"/>
    <w:rsid w:val="00F44D87"/>
    <w:rsid w:val="00F46A00"/>
    <w:rsid w:val="00F6011F"/>
    <w:rsid w:val="00F61269"/>
    <w:rsid w:val="00F64FE4"/>
    <w:rsid w:val="00F66D31"/>
    <w:rsid w:val="00F80164"/>
    <w:rsid w:val="00F80F69"/>
    <w:rsid w:val="00F818E0"/>
    <w:rsid w:val="00F84EA3"/>
    <w:rsid w:val="00F860C6"/>
    <w:rsid w:val="00F86AF7"/>
    <w:rsid w:val="00F87513"/>
    <w:rsid w:val="00F87ACB"/>
    <w:rsid w:val="00F91D0C"/>
    <w:rsid w:val="00F95684"/>
    <w:rsid w:val="00FA06F6"/>
    <w:rsid w:val="00FA0A99"/>
    <w:rsid w:val="00FA3421"/>
    <w:rsid w:val="00FA3D00"/>
    <w:rsid w:val="00FA5637"/>
    <w:rsid w:val="00FA5D0A"/>
    <w:rsid w:val="00FA67F9"/>
    <w:rsid w:val="00FB3F63"/>
    <w:rsid w:val="00FB6429"/>
    <w:rsid w:val="00FB7349"/>
    <w:rsid w:val="00FC1425"/>
    <w:rsid w:val="00FC3090"/>
    <w:rsid w:val="00FC3699"/>
    <w:rsid w:val="00FC7886"/>
    <w:rsid w:val="00FD1E31"/>
    <w:rsid w:val="00FD391D"/>
    <w:rsid w:val="00FD4683"/>
    <w:rsid w:val="00FE3711"/>
    <w:rsid w:val="00FE4421"/>
    <w:rsid w:val="00FE65BF"/>
    <w:rsid w:val="00FE6E36"/>
    <w:rsid w:val="00FE7FAE"/>
    <w:rsid w:val="00FF2932"/>
    <w:rsid w:val="00FF2E54"/>
    <w:rsid w:val="00FF3058"/>
    <w:rsid w:val="00FF4FAB"/>
    <w:rsid w:val="00FF6DCB"/>
    <w:rsid w:val="00FF74AC"/>
    <w:rsid w:val="434D4217"/>
  </w:rsids>
  <m:mathPr>
    <m:mathFont m:val="Cambria Math"/>
    <m:brkBin m:val="before"/>
    <m:brkBinSub m:val="--"/>
    <m:smallFrac m:val="0"/>
    <m:dispDef/>
    <m:lMargin m:val="0"/>
    <m:rMargin m:val="0"/>
    <m:defJc m:val="centerGroup"/>
    <m:wrapIndent m:val="1440"/>
    <m:intLim m:val="subSup"/>
    <m:naryLim m:val="undOvr"/>
  </m:mathPr>
  <w:doNotAutoCompressPictures/>
  <w:themeFontLang w:val="uk-UA"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Times New Roman" w:cs="Apto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iPriority="99" w:semiHidden="0" w:name="header" w:locked="1"/>
    <w:lsdException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ocked="1"/>
    <w:lsdException w:unhideWhenUsed="0" w:uiPriority="39" w:semiHidden="0" w:name="Table Grid" w:locked="1"/>
    <w:lsdException w:uiPriority="0" w:name="Table Theme"/>
    <w:lsdException w:qFormat="1" w:unhideWhenUsed="0" w:uiPriority="99" w:semiHidden="0" w:name="List Paragraph"/>
    <w:lsdException w:qFormat="1" w:unhideWhenUsed="0" w:uiPriority="99" w:semiHidden="0" w:name="Quote"/>
    <w:lsdException w:qFormat="1" w:unhideWhenUsed="0" w:uiPriority="99" w:semiHidden="0" w:name="Intense Quote"/>
  </w:latentStyles>
  <w:style w:type="paragraph" w:default="1" w:styleId="1">
    <w:name w:val="Normal"/>
    <w:qFormat/>
    <w:uiPriority w:val="0"/>
    <w:pPr>
      <w:spacing w:after="160" w:line="259" w:lineRule="auto"/>
    </w:pPr>
    <w:rPr>
      <w:rFonts w:ascii="Aptos" w:hAnsi="Aptos" w:eastAsia="Times New Roman" w:cs="Times New Roman"/>
      <w:kern w:val="2"/>
      <w:sz w:val="22"/>
      <w:szCs w:val="22"/>
      <w:lang w:val="uk-UA" w:eastAsia="en-US" w:bidi="ar-SA"/>
    </w:rPr>
  </w:style>
  <w:style w:type="paragraph" w:styleId="2">
    <w:name w:val="heading 1"/>
    <w:basedOn w:val="1"/>
    <w:next w:val="1"/>
    <w:link w:val="18"/>
    <w:qFormat/>
    <w:uiPriority w:val="99"/>
    <w:pPr>
      <w:keepNext/>
      <w:keepLines/>
      <w:spacing w:before="360" w:after="80"/>
      <w:outlineLvl w:val="0"/>
    </w:pPr>
    <w:rPr>
      <w:rFonts w:ascii="Aptos Display" w:hAnsi="Aptos Display"/>
      <w:color w:val="0F4761"/>
      <w:sz w:val="40"/>
      <w:szCs w:val="40"/>
    </w:rPr>
  </w:style>
  <w:style w:type="paragraph" w:styleId="3">
    <w:name w:val="heading 2"/>
    <w:basedOn w:val="1"/>
    <w:next w:val="1"/>
    <w:link w:val="19"/>
    <w:qFormat/>
    <w:uiPriority w:val="99"/>
    <w:pPr>
      <w:keepNext/>
      <w:keepLines/>
      <w:spacing w:before="160" w:after="80"/>
      <w:outlineLvl w:val="1"/>
    </w:pPr>
    <w:rPr>
      <w:rFonts w:ascii="Aptos Display" w:hAnsi="Aptos Display"/>
      <w:color w:val="0F4761"/>
      <w:sz w:val="32"/>
      <w:szCs w:val="32"/>
    </w:rPr>
  </w:style>
  <w:style w:type="paragraph" w:styleId="4">
    <w:name w:val="heading 3"/>
    <w:basedOn w:val="1"/>
    <w:next w:val="1"/>
    <w:link w:val="20"/>
    <w:qFormat/>
    <w:uiPriority w:val="99"/>
    <w:pPr>
      <w:keepNext/>
      <w:keepLines/>
      <w:spacing w:before="160" w:after="80"/>
      <w:outlineLvl w:val="2"/>
    </w:pPr>
    <w:rPr>
      <w:color w:val="0F4761"/>
      <w:sz w:val="28"/>
      <w:szCs w:val="28"/>
    </w:rPr>
  </w:style>
  <w:style w:type="paragraph" w:styleId="5">
    <w:name w:val="heading 4"/>
    <w:basedOn w:val="1"/>
    <w:next w:val="1"/>
    <w:link w:val="21"/>
    <w:qFormat/>
    <w:uiPriority w:val="99"/>
    <w:pPr>
      <w:keepNext/>
      <w:keepLines/>
      <w:spacing w:before="80" w:after="40"/>
      <w:outlineLvl w:val="3"/>
    </w:pPr>
    <w:rPr>
      <w:i/>
      <w:iCs/>
      <w:color w:val="0F4761"/>
    </w:rPr>
  </w:style>
  <w:style w:type="paragraph" w:styleId="6">
    <w:name w:val="heading 5"/>
    <w:basedOn w:val="1"/>
    <w:next w:val="1"/>
    <w:link w:val="22"/>
    <w:qFormat/>
    <w:uiPriority w:val="99"/>
    <w:pPr>
      <w:keepNext/>
      <w:keepLines/>
      <w:spacing w:before="80" w:after="40"/>
      <w:outlineLvl w:val="4"/>
    </w:pPr>
    <w:rPr>
      <w:color w:val="0F4761"/>
    </w:rPr>
  </w:style>
  <w:style w:type="paragraph" w:styleId="7">
    <w:name w:val="heading 6"/>
    <w:basedOn w:val="1"/>
    <w:next w:val="1"/>
    <w:link w:val="23"/>
    <w:qFormat/>
    <w:uiPriority w:val="99"/>
    <w:pPr>
      <w:keepNext/>
      <w:keepLines/>
      <w:spacing w:before="40" w:after="0"/>
      <w:outlineLvl w:val="5"/>
    </w:pPr>
    <w:rPr>
      <w:i/>
      <w:iCs/>
      <w:color w:val="595959"/>
    </w:rPr>
  </w:style>
  <w:style w:type="paragraph" w:styleId="8">
    <w:name w:val="heading 7"/>
    <w:basedOn w:val="1"/>
    <w:next w:val="1"/>
    <w:link w:val="24"/>
    <w:qFormat/>
    <w:uiPriority w:val="99"/>
    <w:pPr>
      <w:keepNext/>
      <w:keepLines/>
      <w:spacing w:before="40" w:after="0"/>
      <w:outlineLvl w:val="6"/>
    </w:pPr>
    <w:rPr>
      <w:color w:val="595959"/>
    </w:rPr>
  </w:style>
  <w:style w:type="paragraph" w:styleId="9">
    <w:name w:val="heading 8"/>
    <w:basedOn w:val="1"/>
    <w:next w:val="1"/>
    <w:link w:val="25"/>
    <w:qFormat/>
    <w:uiPriority w:val="99"/>
    <w:pPr>
      <w:keepNext/>
      <w:keepLines/>
      <w:spacing w:after="0"/>
      <w:outlineLvl w:val="7"/>
    </w:pPr>
    <w:rPr>
      <w:i/>
      <w:iCs/>
      <w:color w:val="272727"/>
    </w:rPr>
  </w:style>
  <w:style w:type="paragraph" w:styleId="10">
    <w:name w:val="heading 9"/>
    <w:basedOn w:val="1"/>
    <w:next w:val="1"/>
    <w:link w:val="26"/>
    <w:qFormat/>
    <w:uiPriority w:val="99"/>
    <w:pPr>
      <w:keepNext/>
      <w:keepLines/>
      <w:spacing w:after="0"/>
      <w:outlineLvl w:val="8"/>
    </w:pPr>
    <w:rPr>
      <w:color w:val="272727"/>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Strong"/>
    <w:qFormat/>
    <w:uiPriority w:val="99"/>
    <w:rPr>
      <w:rFonts w:cs="Times New Roman"/>
      <w:b/>
      <w:bCs/>
    </w:rPr>
  </w:style>
  <w:style w:type="paragraph" w:styleId="14">
    <w:name w:val="header"/>
    <w:basedOn w:val="1"/>
    <w:link w:val="36"/>
    <w:unhideWhenUsed/>
    <w:locked/>
    <w:uiPriority w:val="99"/>
    <w:pPr>
      <w:tabs>
        <w:tab w:val="center" w:pos="4819"/>
        <w:tab w:val="right" w:pos="9639"/>
      </w:tabs>
    </w:pPr>
  </w:style>
  <w:style w:type="paragraph" w:styleId="15">
    <w:name w:val="Title"/>
    <w:basedOn w:val="1"/>
    <w:next w:val="1"/>
    <w:link w:val="27"/>
    <w:qFormat/>
    <w:uiPriority w:val="99"/>
    <w:pPr>
      <w:spacing w:after="80" w:line="240" w:lineRule="auto"/>
      <w:contextualSpacing/>
    </w:pPr>
    <w:rPr>
      <w:rFonts w:ascii="Aptos Display" w:hAnsi="Aptos Display"/>
      <w:spacing w:val="-10"/>
      <w:kern w:val="28"/>
      <w:sz w:val="56"/>
      <w:szCs w:val="56"/>
    </w:rPr>
  </w:style>
  <w:style w:type="paragraph" w:styleId="16">
    <w:name w:val="footer"/>
    <w:basedOn w:val="1"/>
    <w:link w:val="37"/>
    <w:unhideWhenUsed/>
    <w:locked/>
    <w:uiPriority w:val="99"/>
    <w:pPr>
      <w:tabs>
        <w:tab w:val="center" w:pos="4819"/>
        <w:tab w:val="right" w:pos="9639"/>
      </w:tabs>
    </w:pPr>
  </w:style>
  <w:style w:type="paragraph" w:styleId="17">
    <w:name w:val="Subtitle"/>
    <w:basedOn w:val="1"/>
    <w:next w:val="1"/>
    <w:link w:val="28"/>
    <w:qFormat/>
    <w:uiPriority w:val="99"/>
    <w:rPr>
      <w:color w:val="595959"/>
      <w:spacing w:val="15"/>
      <w:sz w:val="28"/>
      <w:szCs w:val="28"/>
    </w:rPr>
  </w:style>
  <w:style w:type="character" w:customStyle="1" w:styleId="18">
    <w:name w:val="Заголовок 1 Знак"/>
    <w:link w:val="2"/>
    <w:locked/>
    <w:uiPriority w:val="99"/>
    <w:rPr>
      <w:rFonts w:ascii="Aptos Display" w:hAnsi="Aptos Display" w:cs="Times New Roman"/>
      <w:color w:val="0F4761"/>
      <w:sz w:val="40"/>
      <w:szCs w:val="40"/>
    </w:rPr>
  </w:style>
  <w:style w:type="character" w:customStyle="1" w:styleId="19">
    <w:name w:val="Заголовок 2 Знак"/>
    <w:link w:val="3"/>
    <w:semiHidden/>
    <w:locked/>
    <w:uiPriority w:val="99"/>
    <w:rPr>
      <w:rFonts w:ascii="Aptos Display" w:hAnsi="Aptos Display" w:cs="Times New Roman"/>
      <w:color w:val="0F4761"/>
      <w:sz w:val="32"/>
      <w:szCs w:val="32"/>
    </w:rPr>
  </w:style>
  <w:style w:type="character" w:customStyle="1" w:styleId="20">
    <w:name w:val="Заголовок 3 Знак"/>
    <w:link w:val="4"/>
    <w:semiHidden/>
    <w:locked/>
    <w:uiPriority w:val="99"/>
    <w:rPr>
      <w:rFonts w:eastAsia="Times New Roman" w:cs="Times New Roman"/>
      <w:color w:val="0F4761"/>
      <w:sz w:val="28"/>
      <w:szCs w:val="28"/>
    </w:rPr>
  </w:style>
  <w:style w:type="character" w:customStyle="1" w:styleId="21">
    <w:name w:val="Заголовок 4 Знак"/>
    <w:link w:val="5"/>
    <w:semiHidden/>
    <w:locked/>
    <w:uiPriority w:val="99"/>
    <w:rPr>
      <w:rFonts w:eastAsia="Times New Roman" w:cs="Times New Roman"/>
      <w:i/>
      <w:iCs/>
      <w:color w:val="0F4761"/>
    </w:rPr>
  </w:style>
  <w:style w:type="character" w:customStyle="1" w:styleId="22">
    <w:name w:val="Заголовок 5 Знак"/>
    <w:link w:val="6"/>
    <w:semiHidden/>
    <w:locked/>
    <w:uiPriority w:val="99"/>
    <w:rPr>
      <w:rFonts w:eastAsia="Times New Roman" w:cs="Times New Roman"/>
      <w:color w:val="0F4761"/>
    </w:rPr>
  </w:style>
  <w:style w:type="character" w:customStyle="1" w:styleId="23">
    <w:name w:val="Заголовок 6 Знак"/>
    <w:link w:val="7"/>
    <w:semiHidden/>
    <w:locked/>
    <w:uiPriority w:val="99"/>
    <w:rPr>
      <w:rFonts w:eastAsia="Times New Roman" w:cs="Times New Roman"/>
      <w:i/>
      <w:iCs/>
      <w:color w:val="595959"/>
    </w:rPr>
  </w:style>
  <w:style w:type="character" w:customStyle="1" w:styleId="24">
    <w:name w:val="Заголовок 7 Знак"/>
    <w:link w:val="8"/>
    <w:semiHidden/>
    <w:locked/>
    <w:uiPriority w:val="99"/>
    <w:rPr>
      <w:rFonts w:eastAsia="Times New Roman" w:cs="Times New Roman"/>
      <w:color w:val="595959"/>
    </w:rPr>
  </w:style>
  <w:style w:type="character" w:customStyle="1" w:styleId="25">
    <w:name w:val="Заголовок 8 Знак"/>
    <w:link w:val="9"/>
    <w:semiHidden/>
    <w:locked/>
    <w:uiPriority w:val="99"/>
    <w:rPr>
      <w:rFonts w:eastAsia="Times New Roman" w:cs="Times New Roman"/>
      <w:i/>
      <w:iCs/>
      <w:color w:val="272727"/>
    </w:rPr>
  </w:style>
  <w:style w:type="character" w:customStyle="1" w:styleId="26">
    <w:name w:val="Заголовок 9 Знак"/>
    <w:link w:val="10"/>
    <w:semiHidden/>
    <w:locked/>
    <w:uiPriority w:val="99"/>
    <w:rPr>
      <w:rFonts w:eastAsia="Times New Roman" w:cs="Times New Roman"/>
      <w:color w:val="272727"/>
    </w:rPr>
  </w:style>
  <w:style w:type="character" w:customStyle="1" w:styleId="27">
    <w:name w:val="Назва Знак"/>
    <w:link w:val="15"/>
    <w:locked/>
    <w:uiPriority w:val="99"/>
    <w:rPr>
      <w:rFonts w:ascii="Aptos Display" w:hAnsi="Aptos Display" w:cs="Times New Roman"/>
      <w:spacing w:val="-10"/>
      <w:kern w:val="28"/>
      <w:sz w:val="56"/>
      <w:szCs w:val="56"/>
    </w:rPr>
  </w:style>
  <w:style w:type="character" w:customStyle="1" w:styleId="28">
    <w:name w:val="Підзаголовок Знак"/>
    <w:link w:val="17"/>
    <w:locked/>
    <w:uiPriority w:val="99"/>
    <w:rPr>
      <w:rFonts w:eastAsia="Times New Roman" w:cs="Times New Roman"/>
      <w:color w:val="595959"/>
      <w:spacing w:val="15"/>
      <w:sz w:val="28"/>
      <w:szCs w:val="28"/>
    </w:rPr>
  </w:style>
  <w:style w:type="paragraph" w:styleId="29">
    <w:name w:val="Quote"/>
    <w:basedOn w:val="1"/>
    <w:next w:val="1"/>
    <w:link w:val="30"/>
    <w:qFormat/>
    <w:uiPriority w:val="99"/>
    <w:pPr>
      <w:spacing w:before="160"/>
      <w:jc w:val="center"/>
    </w:pPr>
    <w:rPr>
      <w:i/>
      <w:iCs/>
      <w:color w:val="404040"/>
    </w:rPr>
  </w:style>
  <w:style w:type="character" w:customStyle="1" w:styleId="30">
    <w:name w:val="Цитата Знак"/>
    <w:link w:val="29"/>
    <w:locked/>
    <w:uiPriority w:val="99"/>
    <w:rPr>
      <w:rFonts w:cs="Times New Roman"/>
      <w:i/>
      <w:iCs/>
      <w:color w:val="404040"/>
    </w:rPr>
  </w:style>
  <w:style w:type="paragraph" w:styleId="31">
    <w:name w:val="List Paragraph"/>
    <w:basedOn w:val="1"/>
    <w:qFormat/>
    <w:uiPriority w:val="99"/>
    <w:pPr>
      <w:ind w:left="720"/>
      <w:contextualSpacing/>
    </w:pPr>
  </w:style>
  <w:style w:type="character" w:customStyle="1" w:styleId="32">
    <w:name w:val="Intense Emphasis"/>
    <w:qFormat/>
    <w:uiPriority w:val="99"/>
    <w:rPr>
      <w:rFonts w:cs="Times New Roman"/>
      <w:i/>
      <w:iCs/>
      <w:color w:val="0F4761"/>
    </w:rPr>
  </w:style>
  <w:style w:type="paragraph" w:styleId="33">
    <w:name w:val="Intense Quote"/>
    <w:basedOn w:val="1"/>
    <w:next w:val="1"/>
    <w:link w:val="34"/>
    <w:qFormat/>
    <w:uiPriority w:val="99"/>
    <w:pPr>
      <w:pBdr>
        <w:top w:val="single" w:color="0F4761" w:sz="4" w:space="10"/>
        <w:bottom w:val="single" w:color="0F4761" w:sz="4" w:space="10"/>
      </w:pBdr>
      <w:spacing w:before="360" w:after="360"/>
      <w:ind w:left="864" w:right="864"/>
      <w:jc w:val="center"/>
    </w:pPr>
    <w:rPr>
      <w:i/>
      <w:iCs/>
      <w:color w:val="0F4761"/>
    </w:rPr>
  </w:style>
  <w:style w:type="character" w:customStyle="1" w:styleId="34">
    <w:name w:val="Насичена цитата Знак"/>
    <w:link w:val="33"/>
    <w:locked/>
    <w:uiPriority w:val="99"/>
    <w:rPr>
      <w:rFonts w:cs="Times New Roman"/>
      <w:i/>
      <w:iCs/>
      <w:color w:val="0F4761"/>
    </w:rPr>
  </w:style>
  <w:style w:type="character" w:customStyle="1" w:styleId="35">
    <w:name w:val="Intense Reference"/>
    <w:qFormat/>
    <w:uiPriority w:val="99"/>
    <w:rPr>
      <w:rFonts w:cs="Times New Roman"/>
      <w:b/>
      <w:bCs/>
      <w:smallCaps/>
      <w:color w:val="0F4761"/>
      <w:spacing w:val="5"/>
    </w:rPr>
  </w:style>
  <w:style w:type="character" w:customStyle="1" w:styleId="36">
    <w:name w:val="Верхній колонтитул Знак"/>
    <w:link w:val="14"/>
    <w:uiPriority w:val="99"/>
    <w:rPr>
      <w:rFonts w:cs="Times New Roman"/>
      <w:sz w:val="22"/>
      <w:szCs w:val="22"/>
      <w:lang w:eastAsia="en-US"/>
    </w:rPr>
  </w:style>
  <w:style w:type="character" w:customStyle="1" w:styleId="37">
    <w:name w:val="Нижній колонтитул Знак"/>
    <w:link w:val="16"/>
    <w:uiPriority w:val="99"/>
    <w:rPr>
      <w:rFonts w:cs="Times New Roman"/>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12116</Words>
  <Characters>6907</Characters>
  <Lines>57</Lines>
  <Paragraphs>37</Paragraphs>
  <TotalTime>341</TotalTime>
  <ScaleCrop>false</ScaleCrop>
  <LinksUpToDate>false</LinksUpToDate>
  <CharactersWithSpaces>18986</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2024-04-14T20:15:00Z</dcterms:created>
  <dc:creator>Микола Костенко</dc:creator>
  <cp:lastModifiedBy>Admin</cp:lastModifiedBy>
  <dcterms:modified xsi:type="dcterms:W3CDTF">2024-04-16T11:00:24Z</dcterms:modified>
  <cp:revision>219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8F1C60D12D054EE0B83955A34E29608E_13</vt:lpwstr>
  </property>
</Properties>
</file>