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-549910</wp:posOffset>
            </wp:positionH>
            <wp:positionV relativeFrom="paragraph">
              <wp:posOffset>-251460</wp:posOffset>
            </wp:positionV>
            <wp:extent cx="6945630" cy="9885045"/>
            <wp:effectExtent l="0" t="0" r="1270" b="8255"/>
            <wp:wrapNone/>
            <wp:docPr id="2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45630" cy="988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Положення про комісію з питань  надзвичайних ситуацій                                                                                 Горошинського закладу загальної середньої освіти</w:t>
      </w:r>
    </w:p>
    <w:p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Загальні положення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 xml:space="preserve">1.1. Комісія з питань надзвичайних ситуацій  </w:t>
      </w:r>
      <w:r>
        <w:rPr>
          <w:rFonts w:ascii="Times New Roman" w:hAnsi="Times New Roman" w:cs="Times New Roman"/>
          <w:sz w:val="28"/>
          <w:szCs w:val="28"/>
        </w:rPr>
        <w:t>Горошинського закладу загальної середньої освіти</w:t>
      </w: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 xml:space="preserve"> (далі – комісія з питань НС) є постійно діючим органом.</w:t>
      </w:r>
    </w:p>
    <w:p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1.2. У повсякденній діяльності комісія з питань НС керується:</w:t>
      </w:r>
    </w:p>
    <w:p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Конституцією України;</w:t>
      </w:r>
    </w:p>
    <w:p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законами України;</w:t>
      </w:r>
    </w:p>
    <w:p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постановами і розпорядженнями Кабінету Міністрів України;</w:t>
      </w:r>
    </w:p>
    <w:p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наказами, розпорядженнями Державної служби України з НС;</w:t>
      </w:r>
    </w:p>
    <w:p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наказами та вказівками відповідного міністерства (відомства);</w:t>
      </w:r>
    </w:p>
    <w:p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рішеннями регіональної та місцевої комісій з питань ТЕБ та НС;</w:t>
      </w:r>
    </w:p>
    <w:p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наказами, вказівками директора закладу;</w:t>
      </w:r>
    </w:p>
    <w:p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законодавчими та нормативними документами з питань НС та ЦЗН області,   міста, Горошинського ЗЗСО;</w:t>
      </w:r>
    </w:p>
    <w:p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цим Положенням.</w:t>
      </w:r>
    </w:p>
    <w:p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1.3. Основними завданнями Комісії є:</w:t>
      </w:r>
    </w:p>
    <w:p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1) координація діяльності керівного складу та сил ЦЗ   закладу, пов’язаної із:</w:t>
      </w:r>
    </w:p>
    <w:p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забезпеченням техногенно-екологічної безпеки, здійсненням заходів щодо запобігання НС, захисту дітей, працівників і території від наслідків надзвичайних ситуацій;</w:t>
      </w:r>
    </w:p>
    <w:p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здійсненням оповіщення керівного складу та сил цивільного захисту, а також дітей, працівників про виникнення надзвичайних ситуацій та інформування про дії в умовах таких ситуацій;</w:t>
      </w:r>
    </w:p>
    <w:p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залученням сил цивільного захисту до проведення аварійно-рятувальних та інших невідкладних робіт, ліквідації наслідків надзвичайних ситуації, надання гуманітарної допомоги;</w:t>
      </w:r>
    </w:p>
    <w:p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забезпеченням реалізації вимог техногенної та пожежної безпеки;</w:t>
      </w:r>
    </w:p>
    <w:p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навчанням дітей, працівників діям у надзвичайних ситуаціях;</w:t>
      </w:r>
    </w:p>
    <w:p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організацією робіт із локалізації і ліквідації наслідків надзвичайних ситуацій, залучення для цього необхідних сил і засобів;</w:t>
      </w:r>
    </w:p>
    <w:p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організацією та здійсненням:</w:t>
      </w:r>
    </w:p>
    <w:p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– заходів щодо життєзабезпечення дітей, працівників, що постраждали внаслідок виникнення надзвичайної ситуації;</w:t>
      </w:r>
    </w:p>
    <w:p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– заходів з евакуації (у разі потреби);</w:t>
      </w:r>
    </w:p>
    <w:p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– радіаційного, хімічного, біологічного, інженерного та медичного захисту  дітей, працівників  і території від наслідків надзвичайних ситуацій;</w:t>
      </w:r>
    </w:p>
    <w:p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вжиттям заходів щодо забезпечення готовності до дій в умовах надзвичайних ситуацій та в особливий період;</w:t>
      </w:r>
    </w:p>
    <w:p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здійсненням безперервного контролю за розвитком надзвичайної ситуації та обстановкою на аварійних об’єктах і прилеглих до них територіях;</w:t>
      </w:r>
    </w:p>
    <w:p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інформуванням органів управління цивільного захисту та дітей, працівників про розвиток надзвичайної ситуації та заходи, що здійснюються;</w:t>
      </w:r>
    </w:p>
    <w:p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забезпеченням:</w:t>
      </w:r>
    </w:p>
    <w:p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організацією та керівництвом за проведенням робіт з ліквідації наслідків надзвичайних ситуацій об’єктового рівня;</w:t>
      </w:r>
    </w:p>
    <w:p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 </w:t>
      </w:r>
    </w:p>
    <w:p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  <w:t>Режими функціонування комісії з питань НС</w:t>
      </w:r>
    </w:p>
    <w:p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 xml:space="preserve">    На виконання вимог Кодексу цивільного захисту України (статті 11-15) та постанов Кабінету Міністрів України від 09.01.2014 № 11(</w:t>
      </w:r>
      <w:r>
        <w:rPr>
          <w:color w:val="333333"/>
          <w:shd w:val="clear" w:color="auto" w:fill="FFFFFF"/>
        </w:rPr>
        <w:t>Із змінами, внесеними згідно з Постановами КМ</w:t>
      </w:r>
      <w:r>
        <w:rPr>
          <w:color w:val="333333"/>
        </w:rPr>
        <w:t xml:space="preserve"> </w:t>
      </w:r>
      <w:r>
        <w:fldChar w:fldCharType="begin"/>
      </w:r>
      <w:r>
        <w:instrText xml:space="preserve"> HYPERLINK "https://zakon.rada.gov.ua/laws/show/825-2016-%D0%BF" \l "n2" \t "_blank" </w:instrText>
      </w:r>
      <w:r>
        <w:fldChar w:fldCharType="separate"/>
      </w:r>
      <w:r>
        <w:rPr>
          <w:rStyle w:val="6"/>
          <w:color w:val="000099"/>
          <w:shd w:val="clear" w:color="auto" w:fill="FFFFFF"/>
        </w:rPr>
        <w:t>№ 825 від 16.11.2016</w:t>
      </w:r>
      <w:r>
        <w:rPr>
          <w:rStyle w:val="6"/>
          <w:color w:val="000099"/>
          <w:shd w:val="clear" w:color="auto" w:fill="FFFFFF"/>
        </w:rPr>
        <w:fldChar w:fldCharType="end"/>
      </w:r>
      <w:r>
        <w:rPr>
          <w:color w:val="333333"/>
        </w:rPr>
        <w:t xml:space="preserve"> ;   </w:t>
      </w:r>
      <w:r>
        <w:fldChar w:fldCharType="begin"/>
      </w:r>
      <w:r>
        <w:instrText xml:space="preserve"> HYPERLINK "https://zakon.rada.gov.ua/laws/show/450-2018-%D0%BF" \l "n11" \t "_blank" </w:instrText>
      </w:r>
      <w:r>
        <w:fldChar w:fldCharType="separate"/>
      </w:r>
      <w:r>
        <w:rPr>
          <w:rStyle w:val="6"/>
          <w:color w:val="000099"/>
          <w:shd w:val="clear" w:color="auto" w:fill="FFFFFF"/>
        </w:rPr>
        <w:t>№ 450 від 06.06.2018</w:t>
      </w:r>
      <w:r>
        <w:rPr>
          <w:rStyle w:val="6"/>
          <w:color w:val="000099"/>
          <w:shd w:val="clear" w:color="auto" w:fill="FFFFFF"/>
        </w:rPr>
        <w:fldChar w:fldCharType="end"/>
      </w:r>
      <w:r>
        <w:rPr>
          <w:color w:val="333333"/>
        </w:rPr>
        <w:t xml:space="preserve">;   </w:t>
      </w:r>
      <w:r>
        <w:fldChar w:fldCharType="begin"/>
      </w:r>
      <w:r>
        <w:instrText xml:space="preserve"> HYPERLINK "https://zakon.rada.gov.ua/laws/show/659-2019-%D0%BF" \l "n2" \t "_blank" </w:instrText>
      </w:r>
      <w:r>
        <w:fldChar w:fldCharType="separate"/>
      </w:r>
      <w:r>
        <w:rPr>
          <w:rStyle w:val="6"/>
          <w:shd w:val="clear" w:color="auto" w:fill="FFFFFF"/>
        </w:rPr>
        <w:t>№ 659 від 17.07.2019</w:t>
      </w:r>
      <w:r>
        <w:rPr>
          <w:rStyle w:val="6"/>
          <w:shd w:val="clear" w:color="auto" w:fill="FFFFFF"/>
        </w:rPr>
        <w:fldChar w:fldCharType="end"/>
      </w:r>
      <w:r>
        <w:t>;</w:t>
      </w:r>
      <w:r>
        <w:rPr>
          <w:color w:val="333333"/>
        </w:rPr>
        <w:br w:type="textWrapping"/>
      </w:r>
      <w:r>
        <w:fldChar w:fldCharType="begin"/>
      </w:r>
      <w:r>
        <w:instrText xml:space="preserve"> HYPERLINK "https://zakon.rada.gov.ua/laws/show/916-2019-%D0%BF" \l "n255" \t "_blank" </w:instrText>
      </w:r>
      <w:r>
        <w:fldChar w:fldCharType="separate"/>
      </w:r>
      <w:r>
        <w:rPr>
          <w:rStyle w:val="6"/>
          <w:color w:val="000099"/>
          <w:shd w:val="clear" w:color="auto" w:fill="FFFFFF"/>
        </w:rPr>
        <w:t>№ 916 від 06.11.2019</w:t>
      </w:r>
      <w:r>
        <w:rPr>
          <w:rStyle w:val="6"/>
          <w:color w:val="000099"/>
          <w:shd w:val="clear" w:color="auto" w:fill="FFFFFF"/>
        </w:rPr>
        <w:fldChar w:fldCharType="end"/>
      </w:r>
      <w:r>
        <w:rPr>
          <w:color w:val="333333"/>
        </w:rPr>
        <w:t xml:space="preserve">;  </w:t>
      </w:r>
      <w:r>
        <w:fldChar w:fldCharType="begin"/>
      </w:r>
      <w:r>
        <w:instrText xml:space="preserve"> HYPERLINK "https://zakon.rada.gov.ua/laws/show/1065-2019-%D0%BF" \l "n382" \t "_blank" </w:instrText>
      </w:r>
      <w:r>
        <w:fldChar w:fldCharType="separate"/>
      </w:r>
      <w:r>
        <w:rPr>
          <w:rStyle w:val="6"/>
          <w:color w:val="000099"/>
          <w:shd w:val="clear" w:color="auto" w:fill="FFFFFF"/>
        </w:rPr>
        <w:t>№ 1065 від 04.12.2019</w:t>
      </w:r>
      <w:r>
        <w:rPr>
          <w:rStyle w:val="6"/>
          <w:color w:val="000099"/>
          <w:shd w:val="clear" w:color="auto" w:fill="FFFFFF"/>
        </w:rPr>
        <w:fldChar w:fldCharType="end"/>
      </w:r>
      <w:r>
        <w:rPr>
          <w:color w:val="333333"/>
        </w:rPr>
        <w:t xml:space="preserve">;  </w:t>
      </w:r>
      <w:r>
        <w:fldChar w:fldCharType="begin"/>
      </w:r>
      <w:r>
        <w:instrText xml:space="preserve"> HYPERLINK "https://zakon.rada.gov.ua/laws/show/826-2020-%D0%BF" \l "n299" \t "_blank" </w:instrText>
      </w:r>
      <w:r>
        <w:fldChar w:fldCharType="separate"/>
      </w:r>
      <w:r>
        <w:rPr>
          <w:rStyle w:val="6"/>
          <w:color w:val="000099"/>
          <w:shd w:val="clear" w:color="auto" w:fill="FFFFFF"/>
        </w:rPr>
        <w:t>№ 826 від 09.09.2020</w:t>
      </w:r>
      <w:r>
        <w:rPr>
          <w:rStyle w:val="6"/>
          <w:color w:val="000099"/>
          <w:shd w:val="clear" w:color="auto" w:fill="FFFFFF"/>
        </w:rPr>
        <w:fldChar w:fldCharType="end"/>
      </w:r>
      <w:r>
        <w:rPr>
          <w:color w:val="333333"/>
        </w:rPr>
        <w:t xml:space="preserve">;  </w:t>
      </w:r>
      <w:r>
        <w:fldChar w:fldCharType="begin"/>
      </w:r>
      <w:r>
        <w:instrText xml:space="preserve"> HYPERLINK "https://zakon.rada.gov.ua/laws/show/424-2021-%D0%BF" \l "n9" \t "_blank" </w:instrText>
      </w:r>
      <w:r>
        <w:fldChar w:fldCharType="separate"/>
      </w:r>
      <w:r>
        <w:rPr>
          <w:rStyle w:val="6"/>
          <w:color w:val="000099"/>
          <w:shd w:val="clear" w:color="auto" w:fill="FFFFFF"/>
        </w:rPr>
        <w:t>№ 424 від 28.04.2021</w:t>
      </w:r>
      <w:r>
        <w:rPr>
          <w:rStyle w:val="6"/>
          <w:color w:val="000099"/>
          <w:shd w:val="clear" w:color="auto" w:fill="FFFFFF"/>
        </w:rPr>
        <w:fldChar w:fldCharType="end"/>
      </w:r>
      <w:r>
        <w:t>»</w:t>
      </w:r>
      <w:r>
        <w:rPr>
          <w:color w:val="333333"/>
        </w:rPr>
        <w:br w:type="textWrapping"/>
      </w:r>
      <w:r>
        <w:fldChar w:fldCharType="begin"/>
      </w:r>
      <w:r>
        <w:instrText xml:space="preserve"> HYPERLINK "https://zakon.rada.gov.ua/laws/show/212-2022-%D0%BF" \l "n272" \t "_blank" </w:instrText>
      </w:r>
      <w:r>
        <w:fldChar w:fldCharType="separate"/>
      </w:r>
      <w:r>
        <w:rPr>
          <w:rStyle w:val="6"/>
          <w:color w:val="000099"/>
          <w:shd w:val="clear" w:color="auto" w:fill="FFFFFF"/>
        </w:rPr>
        <w:t>№ 212 від 06.03.2022</w:t>
      </w:r>
      <w:r>
        <w:rPr>
          <w:rStyle w:val="6"/>
          <w:color w:val="000099"/>
          <w:shd w:val="clear" w:color="auto" w:fill="FFFFFF"/>
        </w:rPr>
        <w:fldChar w:fldCharType="end"/>
      </w:r>
      <w:r>
        <w:rPr>
          <w:color w:val="333333"/>
        </w:rPr>
        <w:t xml:space="preserve">;  </w:t>
      </w:r>
      <w:r>
        <w:fldChar w:fldCharType="begin"/>
      </w:r>
      <w:r>
        <w:instrText xml:space="preserve"> HYPERLINK "https://zakon.rada.gov.ua/laws/show/227-2022-%D0%BF" \l "n348" \t "_blank" </w:instrText>
      </w:r>
      <w:r>
        <w:fldChar w:fldCharType="separate"/>
      </w:r>
      <w:r>
        <w:rPr>
          <w:rStyle w:val="6"/>
          <w:color w:val="000099"/>
          <w:shd w:val="clear" w:color="auto" w:fill="FFFFFF"/>
        </w:rPr>
        <w:t>№ 227 від 06.03.2022</w:t>
      </w:r>
      <w:r>
        <w:rPr>
          <w:rStyle w:val="6"/>
          <w:color w:val="000099"/>
          <w:shd w:val="clear" w:color="auto" w:fill="FFFFFF"/>
        </w:rPr>
        <w:fldChar w:fldCharType="end"/>
      </w:r>
      <w:r>
        <w:rPr>
          <w:color w:val="333333"/>
        </w:rPr>
        <w:t xml:space="preserve">;  </w:t>
      </w:r>
      <w:r>
        <w:fldChar w:fldCharType="begin"/>
      </w:r>
      <w:r>
        <w:instrText xml:space="preserve"> HYPERLINK "https://zakon.rada.gov.ua/laws/show/456-2022-%D0%BF" \l "n2" \t "_blank" </w:instrText>
      </w:r>
      <w:r>
        <w:fldChar w:fldCharType="separate"/>
      </w:r>
      <w:r>
        <w:rPr>
          <w:rStyle w:val="6"/>
          <w:color w:val="000099"/>
          <w:shd w:val="clear" w:color="auto" w:fill="FFFFFF"/>
        </w:rPr>
        <w:t>№ 456 від 23.02.2022</w:t>
      </w:r>
      <w:r>
        <w:rPr>
          <w:rStyle w:val="6"/>
          <w:color w:val="000099"/>
          <w:shd w:val="clear" w:color="auto" w:fill="FFFFFF"/>
        </w:rPr>
        <w:fldChar w:fldCharType="end"/>
      </w:r>
      <w:r>
        <w:rPr>
          <w:color w:val="333333"/>
        </w:rPr>
        <w:t xml:space="preserve">;  </w:t>
      </w:r>
      <w:r>
        <w:fldChar w:fldCharType="begin"/>
      </w:r>
      <w:r>
        <w:instrText xml:space="preserve"> HYPERLINK "https://zakon.rada.gov.ua/laws/show/545-2022-%D0%BF" \l "n2" \t "_blank" </w:instrText>
      </w:r>
      <w:r>
        <w:fldChar w:fldCharType="separate"/>
      </w:r>
      <w:r>
        <w:rPr>
          <w:rStyle w:val="6"/>
          <w:color w:val="000099"/>
          <w:shd w:val="clear" w:color="auto" w:fill="FFFFFF"/>
        </w:rPr>
        <w:t>№ 545 від 07.05.2022</w:t>
      </w:r>
      <w:r>
        <w:rPr>
          <w:rStyle w:val="6"/>
          <w:color w:val="000099"/>
          <w:shd w:val="clear" w:color="auto" w:fill="FFFFFF"/>
        </w:rPr>
        <w:fldChar w:fldCharType="end"/>
      </w:r>
      <w:r>
        <w:t>;</w:t>
      </w:r>
      <w:r>
        <w:rPr>
          <w:color w:val="333333"/>
        </w:rPr>
        <w:br w:type="textWrapping"/>
      </w:r>
      <w:r>
        <w:fldChar w:fldCharType="begin"/>
      </w:r>
      <w:r>
        <w:instrText xml:space="preserve"> HYPERLINK "https://zakon.rada.gov.ua/laws/show/976-2022-%D0%BF" \l "n2" \t "_blank" </w:instrText>
      </w:r>
      <w:r>
        <w:fldChar w:fldCharType="separate"/>
      </w:r>
      <w:r>
        <w:rPr>
          <w:rStyle w:val="6"/>
          <w:color w:val="000099"/>
          <w:shd w:val="clear" w:color="auto" w:fill="FFFFFF"/>
        </w:rPr>
        <w:t>№ 976 від 30.08.2022</w:t>
      </w:r>
      <w:r>
        <w:rPr>
          <w:rStyle w:val="6"/>
          <w:color w:val="000099"/>
          <w:shd w:val="clear" w:color="auto" w:fill="FFFFFF"/>
        </w:rPr>
        <w:fldChar w:fldCharType="end"/>
      </w:r>
      <w:r>
        <w:rPr>
          <w:color w:val="333333"/>
        </w:rPr>
        <w:t xml:space="preserve">;  </w:t>
      </w:r>
      <w:r>
        <w:fldChar w:fldCharType="begin"/>
      </w:r>
      <w:r>
        <w:instrText xml:space="preserve"> HYPERLINK "https://zakon.rada.gov.ua/laws/show/134-2023-%D0%BF" \l "n2" \t "_blank" </w:instrText>
      </w:r>
      <w:r>
        <w:fldChar w:fldCharType="separate"/>
      </w:r>
      <w:r>
        <w:rPr>
          <w:rStyle w:val="6"/>
          <w:color w:val="000099"/>
          <w:shd w:val="clear" w:color="auto" w:fill="FFFFFF"/>
        </w:rPr>
        <w:t>№ 134 від 14.02.2023</w:t>
      </w:r>
      <w:r>
        <w:rPr>
          <w:rStyle w:val="6"/>
          <w:color w:val="000099"/>
          <w:shd w:val="clear" w:color="auto" w:fill="FFFFFF"/>
        </w:rPr>
        <w:fldChar w:fldCharType="end"/>
      </w:r>
      <w:r>
        <w:t>)</w:t>
      </w: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, від 17.06.2015 № 409 (</w:t>
      </w:r>
      <w:r>
        <w:rPr>
          <w:color w:val="333333"/>
          <w:shd w:val="clear" w:color="auto" w:fill="FFFFFF"/>
        </w:rPr>
        <w:t>Із змінами, внесеними згідно з Постановами КМ</w:t>
      </w:r>
      <w:r>
        <w:rPr>
          <w:color w:val="333333"/>
        </w:rPr>
        <w:t xml:space="preserve">  </w:t>
      </w:r>
      <w:r>
        <w:fldChar w:fldCharType="begin"/>
      </w:r>
      <w:r>
        <w:instrText xml:space="preserve"> HYPERLINK "https://zakon.rada.gov.ua/laws/show/100-2018-%D0%BF" \l "n16" \t "_blank" </w:instrText>
      </w:r>
      <w:r>
        <w:fldChar w:fldCharType="separate"/>
      </w:r>
      <w:r>
        <w:rPr>
          <w:rStyle w:val="6"/>
          <w:color w:val="000099"/>
          <w:shd w:val="clear" w:color="auto" w:fill="FFFFFF"/>
        </w:rPr>
        <w:t>№ 100 від 21.02.2018</w:t>
      </w:r>
      <w:r>
        <w:rPr>
          <w:rStyle w:val="6"/>
          <w:color w:val="000099"/>
          <w:shd w:val="clear" w:color="auto" w:fill="FFFFFF"/>
        </w:rPr>
        <w:fldChar w:fldCharType="end"/>
      </w:r>
      <w:r>
        <w:rPr>
          <w:color w:val="333333"/>
        </w:rPr>
        <w:t xml:space="preserve">;  </w:t>
      </w:r>
      <w:r>
        <w:fldChar w:fldCharType="begin"/>
      </w:r>
      <w:r>
        <w:instrText xml:space="preserve"> HYPERLINK "https://zakon.rada.gov.ua/laws/show/1405-2021-%D0%BF" \l "n2" \t "_blank" </w:instrText>
      </w:r>
      <w:r>
        <w:fldChar w:fldCharType="separate"/>
      </w:r>
      <w:r>
        <w:rPr>
          <w:rStyle w:val="6"/>
          <w:color w:val="000099"/>
          <w:shd w:val="clear" w:color="auto" w:fill="FFFFFF"/>
        </w:rPr>
        <w:t>№ 1405 від 29.12.2021</w:t>
      </w:r>
      <w:r>
        <w:rPr>
          <w:rStyle w:val="6"/>
          <w:color w:val="000099"/>
          <w:shd w:val="clear" w:color="auto" w:fill="FFFFFF"/>
        </w:rPr>
        <w:fldChar w:fldCharType="end"/>
      </w:r>
      <w:r>
        <w:rPr>
          <w:color w:val="333333"/>
        </w:rPr>
        <w:t xml:space="preserve">;  </w:t>
      </w:r>
      <w:r>
        <w:fldChar w:fldCharType="begin"/>
      </w:r>
      <w:r>
        <w:instrText xml:space="preserve"> HYPERLINK "https://zakon.rada.gov.ua/laws/show/1078-2022-%D0%BF" \l "n2" \t "_blank" </w:instrText>
      </w:r>
      <w:r>
        <w:fldChar w:fldCharType="separate"/>
      </w:r>
      <w:r>
        <w:rPr>
          <w:rStyle w:val="6"/>
          <w:color w:val="000099"/>
          <w:shd w:val="clear" w:color="auto" w:fill="FFFFFF"/>
        </w:rPr>
        <w:t>№ 1078 від 27.09.2022</w:t>
      </w:r>
      <w:r>
        <w:rPr>
          <w:rStyle w:val="6"/>
          <w:color w:val="000099"/>
          <w:shd w:val="clear" w:color="auto" w:fill="FFFFFF"/>
        </w:rPr>
        <w:fldChar w:fldCharType="end"/>
      </w:r>
      <w:r>
        <w:t>;</w:t>
      </w:r>
      <w:r>
        <w:rPr>
          <w:color w:val="333333"/>
        </w:rPr>
        <w:br w:type="textWrapping"/>
      </w:r>
      <w:r>
        <w:fldChar w:fldCharType="begin"/>
      </w:r>
      <w:r>
        <w:instrText xml:space="preserve"> HYPERLINK "https://zakon.rada.gov.ua/laws/show/134-2023-%D0%BF" \l "n2" \t "_blank" </w:instrText>
      </w:r>
      <w:r>
        <w:fldChar w:fldCharType="separate"/>
      </w:r>
      <w:r>
        <w:rPr>
          <w:rStyle w:val="6"/>
          <w:color w:val="000099"/>
          <w:shd w:val="clear" w:color="auto" w:fill="FFFFFF"/>
        </w:rPr>
        <w:t>№ 134 від 14.02.2023</w:t>
      </w:r>
      <w:r>
        <w:rPr>
          <w:rStyle w:val="6"/>
          <w:color w:val="000099"/>
          <w:shd w:val="clear" w:color="auto" w:fill="FFFFFF"/>
        </w:rPr>
        <w:fldChar w:fldCharType="end"/>
      </w:r>
      <w:r>
        <w:rPr>
          <w:color w:val="333333"/>
          <w:shd w:val="clear" w:color="auto" w:fill="FFFFFF"/>
        </w:rPr>
        <w:t xml:space="preserve">)   </w:t>
      </w: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Комісія організовує свою діяльність у чотирьох режимах: повсякденного функціонування, підвищеної готовності, надзвичайної ситуації, надзвичайного стану.</w:t>
      </w:r>
    </w:p>
    <w:p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  <w:t>2.1. Режим повсякденного функціонування</w:t>
      </w:r>
    </w:p>
    <w:p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 xml:space="preserve">    У режимі повсякденного функціонування Комісія:</w:t>
      </w:r>
    </w:p>
    <w:p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координує діяльність об’єктової ланки ЄДС, пов’язаної зі здійсненням заходів у сфері цивільного захисту;</w:t>
      </w:r>
    </w:p>
    <w:p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здійснює заходи щодо забезпечення захисту дітей, працівників і території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uk-UA"/>
        </w:rPr>
        <w:t>, </w:t>
      </w: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сталого функціонування суб’єкта господарювання, зменшення можливих матеріальних втрат;</w:t>
      </w:r>
    </w:p>
    <w:p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організовує спостереження і контроль за станом навколишнього середовища на об’єкті і прилеглих до нього територій, станом потенційно небезпечних ділянок (підрозділів) об’єкта;</w:t>
      </w:r>
    </w:p>
    <w:p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прогнозує виникнення НС і масштабів їх наслідків;</w:t>
      </w:r>
    </w:p>
    <w:p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керує заходами щодо забезпечення сталої роботи закладу при загрозі і виникненні НС;</w:t>
      </w:r>
    </w:p>
    <w:p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забезпечує постійну готовність сил та засобів суб’єкта господарювання до дій у НС;</w:t>
      </w:r>
    </w:p>
    <w:p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створює і поповнює матеріально-технічні запаси та фінансові резерви, забезпечує готовність до використання при проведенні попереджальних заходів у період загрози та при виникненні НС;</w:t>
      </w:r>
    </w:p>
    <w:p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координує здійснення заходів щодо профілактики та локалізації інфекційних захворювань, а також запобігання виникненню випадків масових харчових отруєнь дітей, працівників;</w:t>
      </w:r>
    </w:p>
    <w:p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розробляє і уточнює „План реагування на НС”;</w:t>
      </w:r>
    </w:p>
    <w:p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сприяє організації навчання працівників суб’єкта господарювання діям у надзвичайних ситуаціях.</w:t>
      </w:r>
    </w:p>
    <w:p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 </w:t>
      </w:r>
    </w:p>
    <w:p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  <w:t>2.2. Режим підвищеної готовності</w:t>
      </w:r>
    </w:p>
    <w:p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  <w:t> </w:t>
      </w:r>
    </w:p>
    <w:p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 xml:space="preserve">    У режимі підвищеної готовності при загрозі виникнення НС державного, регіонального та місцевого рівня, тобто при істотному погіршенні  виробничо-промислової, радіаційної, хімічної, біологічної, бактеріологічної, гідрогеологічної, гідрометеорологічної обстановки або з одержанням прогнозованої інформації щодо можливості виникнення НС, Комісія:</w:t>
      </w:r>
    </w:p>
    <w:p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здійснює заходи, передбачені для режиму повсякденного функціонування і додаткові заходи;</w:t>
      </w:r>
    </w:p>
    <w:p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організовує заходи щодо активізації роботи з проведення спостереження та контролю за станом навколишнього природного середовища, перебігом епідемій і спалахами інфекційних захворювань, масовими харчовими отруєннями населення, обстановкою на потенційно небезпечних об’єктах і прилеглих до них територіях, прогнозування можливості виникнення надзвичайної ситуації та її масштабів;</w:t>
      </w:r>
    </w:p>
    <w:p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організовує розроблення Плану заходів щодо захисту дітей, працівників і території у разі виникнення надзвичайної ситуації, забезпечення сталого функціонування суб’єкта господарювання;</w:t>
      </w:r>
    </w:p>
    <w:p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забезпечує координацію заходів щодо запобігання виникненню надзвичайної ситуації об’єктового рівня;</w:t>
      </w:r>
    </w:p>
    <w:p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готує пропозиції щодо визначення джерел і порядку фінансування заходів реагування на надзвичайну ситуацію;</w:t>
      </w:r>
    </w:p>
    <w:p>
      <w:pPr>
        <w:numPr>
          <w:ilvl w:val="0"/>
          <w:numId w:val="7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координує заходи щодо створення резерву засобів індивідуального захисту та матеріальних резервів для запобігання виникненню НС та ліквідації її наслідків, визначає обсяги і порядок використання таких резервів;</w:t>
      </w:r>
    </w:p>
    <w:p>
      <w:pPr>
        <w:numPr>
          <w:ilvl w:val="0"/>
          <w:numId w:val="7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уточнює План взаємодії аварійно-пошуково-рятувальних та відновлювальних загонів, спеціалізованих служб ЦЗ та формувань ЦЗ, порядок переміщення їх в район можливого виникнення надзвичайних ситуацій;</w:t>
      </w:r>
    </w:p>
    <w:p>
      <w:pPr>
        <w:numPr>
          <w:ilvl w:val="0"/>
          <w:numId w:val="7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запроваджує цілодобове чергування членів Комісії (при потребі);</w:t>
      </w:r>
    </w:p>
    <w:p>
      <w:pPr>
        <w:numPr>
          <w:ilvl w:val="0"/>
          <w:numId w:val="7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інформує працівників про ситуацію, що склалася, прогноз її розвитку та про дії, які потрібно виконувати в разі загрози та виникнення НС.</w:t>
      </w:r>
    </w:p>
    <w:p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  <w:t> </w:t>
      </w:r>
    </w:p>
    <w:p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  <w:t>2.3. Режим надзвичайної ситуації</w:t>
      </w:r>
    </w:p>
    <w:p>
      <w:pPr>
        <w:jc w:val="both"/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 xml:space="preserve">     У режимі надзвичайної ситуації Комісія разом із </w:t>
      </w:r>
      <w:r>
        <w:rPr>
          <w:rFonts w:ascii="Times New Roman" w:hAnsi="Times New Roman" w:cs="Times New Roman"/>
          <w:sz w:val="28"/>
        </w:rPr>
        <w:t>спеціальною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комісією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з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ліквідації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наслідків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надзвичайних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ситуацій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техногенного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та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природного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характеру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Горошинського закладу загальної середньої освіти:</w:t>
      </w:r>
    </w:p>
    <w:p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здійснює заходи, визначені для попередніх режимів;</w:t>
      </w:r>
    </w:p>
    <w:p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забезпечує координацію, організацію робіт та взаємодію органів управління, сил та засобів ЦЗ об’єктової ланки територіальної підсистеми єдиної державної системи ЦЗ з локалізації або ліквідації надзвичайної ситуації;</w:t>
      </w:r>
    </w:p>
    <w:p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залучає до виконання робіт з ліквідації наслідків надзвичайної ситуації необхідні  служби ЦЗ з використанням наявних матеріально-технічних, продовольчих та інших ресурсів і запасів;</w:t>
      </w:r>
    </w:p>
    <w:p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організовує, при потребі, евакуацію працівників, матеріально-технічних засобів із території, на яку можуть бути поширені небезпечна дія або наслідки надзвичайної ситуації;</w:t>
      </w:r>
    </w:p>
    <w:p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здійснює постійний контроль за ситуацією, що склалася на території суб’єкта господарювання;</w:t>
      </w:r>
    </w:p>
    <w:p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здійснює постійний збір інформації про масштаб НС, обстановку, що склалася, про хід роботи щодо ліквідації її наслідків, інформує про це вищестоящі органи виконавчої влади, комісію з питань ТЕБ та НС адміністративно-територіальної одиниці;</w:t>
      </w:r>
    </w:p>
    <w:p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інформує працівників про обстановку і прогноз її розвитку, доводить рекомендації щодо дій та поведінки в умовах, що склалися;</w:t>
      </w:r>
    </w:p>
    <w:p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 </w:t>
      </w:r>
    </w:p>
    <w:p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  <w:t>2.4. Режим надзвичайного стану</w:t>
      </w:r>
    </w:p>
    <w:p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  <w:t> </w:t>
      </w:r>
    </w:p>
    <w:p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 xml:space="preserve">     У режимі надзвичайного стану Комісія здійснює заходи, що визначаються згідно з вимогами Закону України „Про правовий режим надзвичайного стану”, а також інших нормативно-правових актів держави.</w:t>
      </w:r>
    </w:p>
    <w:p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  <w:t>Права комісії з питань НС</w:t>
      </w:r>
    </w:p>
    <w:p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  <w:t> </w:t>
      </w:r>
    </w:p>
    <w:p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  <w:t>Комісія має право:</w:t>
      </w:r>
    </w:p>
    <w:p>
      <w:pPr>
        <w:numPr>
          <w:ilvl w:val="0"/>
          <w:numId w:val="10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  <w:t>Контролювати діяльність</w:t>
      </w: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 структурних підрозділів суб’єкта господарювання з питань запобігання виникнення НС.</w:t>
      </w:r>
    </w:p>
    <w:p>
      <w:pPr>
        <w:numPr>
          <w:ilvl w:val="0"/>
          <w:numId w:val="10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У разі виникнення НС на території суб’єкта господарювання 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  <w:t>здійснювати керівництво</w:t>
      </w: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 аварійно-рятувальними роботами і залучати сили та засоби, які знаходяться на території суб’єкта господарювання, і можуть використовуватися для виконання завдань із запобігання НС та реагування на них.</w:t>
      </w:r>
    </w:p>
    <w:p>
      <w:pPr>
        <w:numPr>
          <w:ilvl w:val="0"/>
          <w:numId w:val="10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  <w:t>Одержувати</w:t>
      </w: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 від місцевих органів виконавчої влади, органів місцевого самоврядування, підприємств, установ та організацій, розташованих поблизу суб’єкта господарювання, матеріали і документи, необхідні для вирішення питань, що належать до її компетенції.</w:t>
      </w:r>
    </w:p>
    <w:p>
      <w:pPr>
        <w:numPr>
          <w:ilvl w:val="0"/>
          <w:numId w:val="10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  <w:t>Залучати </w:t>
      </w: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до участі у своїй роботі представників місцевих органів виконавчої влади, органів місцевого самоврядування, підприємств, установ та організацій, розташованих поблизу суб’єкта господарювання (за погодженням з їх керівниками).</w:t>
      </w:r>
    </w:p>
    <w:p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 </w:t>
      </w:r>
    </w:p>
    <w:p>
      <w:pPr>
        <w:numPr>
          <w:ilvl w:val="0"/>
          <w:numId w:val="11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  <w:t>Проведення засідань комісії з питань НС. Організаційні питання</w:t>
      </w:r>
    </w:p>
    <w:p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  <w:t> </w:t>
      </w:r>
    </w:p>
    <w:p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4.1. Основною організаційною формою роботи Комісії є засідання, які проводяться   не менше одного засідання в квартал;</w:t>
      </w:r>
    </w:p>
    <w:p>
      <w:pPr>
        <w:numPr>
          <w:ilvl w:val="0"/>
          <w:numId w:val="12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Комісія проводить засідання на постійній основі;</w:t>
      </w:r>
    </w:p>
    <w:p>
      <w:pPr>
        <w:numPr>
          <w:ilvl w:val="0"/>
          <w:numId w:val="12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засідання Комісії вважається повноважним, якщо на ньому присутні більше як половина її складу;</w:t>
      </w:r>
    </w:p>
    <w:p>
      <w:pPr>
        <w:numPr>
          <w:ilvl w:val="0"/>
          <w:numId w:val="12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засідання Комісії веде голова, а у разі його відсутності – заступник голови Комісії;</w:t>
      </w:r>
    </w:p>
    <w:p>
      <w:pPr>
        <w:numPr>
          <w:ilvl w:val="0"/>
          <w:numId w:val="12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рішення Комісії приймається колегіально відкритим голосуванням і вважається прийнятим, якщо за нього проголосувало більше як дві третини присутніх на засіданні членів Комісії. У разі рівного розподілу голосів, вирішальним є голос головуючого на засіданні. Член Комісії, який не підтримує пропозиції та рекомендації, прийняті Комісією, може викласти у письмовій формі свою окрему думку, що додається до протоколу засідання;</w:t>
      </w:r>
    </w:p>
    <w:p>
      <w:pPr>
        <w:numPr>
          <w:ilvl w:val="0"/>
          <w:numId w:val="12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рішення Комісії фіксуються у протоколі засідання, який підписується головуючим на засіданні та секретарем Комісії;</w:t>
      </w:r>
    </w:p>
    <w:p>
      <w:pPr>
        <w:numPr>
          <w:ilvl w:val="0"/>
          <w:numId w:val="12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рішення Комісії, прийняті у межах її повноважень, є обов’язковими для виконання працівниками суб’єкта господарювання;</w:t>
      </w:r>
    </w:p>
    <w:p>
      <w:pPr>
        <w:numPr>
          <w:ilvl w:val="0"/>
          <w:numId w:val="12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організація роботи Комісії здійснюється головою Комісії за допомогою секретаря, який забезпечує підготовку, скликання та проведення засідань, а також здійснює контроль за виконанням її рішень;</w:t>
      </w:r>
    </w:p>
    <w:p>
      <w:pPr>
        <w:numPr>
          <w:ilvl w:val="0"/>
          <w:numId w:val="12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в період між засіданнями, а також у разі загрози виникнення надзвичайних ситуацій голова Комісії має право приймати рішення самостійно. Ці рішення розглядаються на наступному плановому засіданні Комісії та оформляються відповідним протоколом.</w:t>
      </w:r>
    </w:p>
    <w:p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4.2. До виконання завдань комісії з питань НС можуть залучатися у встановленому порядку спеціалісти різного фаху, виходячи з характеру та складності вирішуваних питань.</w:t>
      </w:r>
    </w:p>
    <w:p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4.3. Комісія при прийнятті рішень з питань ліквідації НС, узгоджує, при необхідності, їх з керівництвом комісії з питань ТЕБ та НС відповідних територіальних підсистем ЄДС (громади, району,  області).</w:t>
      </w:r>
    </w:p>
    <w:sectPr>
      <w:pgSz w:w="11906" w:h="16838"/>
      <w:pgMar w:top="850" w:right="850" w:bottom="850" w:left="1417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1356347"/>
    <w:multiLevelType w:val="multilevel"/>
    <w:tmpl w:val="1135634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>
    <w:nsid w:val="13CA52E3"/>
    <w:multiLevelType w:val="multilevel"/>
    <w:tmpl w:val="13CA52E3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>
    <w:nsid w:val="14B10878"/>
    <w:multiLevelType w:val="multilevel"/>
    <w:tmpl w:val="14B10878"/>
    <w:lvl w:ilvl="0" w:tentative="0">
      <w:start w:val="2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>
    <w:nsid w:val="53996750"/>
    <w:multiLevelType w:val="multilevel"/>
    <w:tmpl w:val="53996750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">
    <w:nsid w:val="54120D79"/>
    <w:multiLevelType w:val="multilevel"/>
    <w:tmpl w:val="54120D79"/>
    <w:lvl w:ilvl="0" w:tentative="0">
      <w:start w:val="4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">
    <w:nsid w:val="5820127D"/>
    <w:multiLevelType w:val="multilevel"/>
    <w:tmpl w:val="5820127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>
    <w:nsid w:val="6FE46059"/>
    <w:multiLevelType w:val="multilevel"/>
    <w:tmpl w:val="6FE46059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">
    <w:nsid w:val="70B47C36"/>
    <w:multiLevelType w:val="multilevel"/>
    <w:tmpl w:val="70B47C36"/>
    <w:lvl w:ilvl="0" w:tentative="0">
      <w:start w:val="3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8">
    <w:nsid w:val="71A81B56"/>
    <w:multiLevelType w:val="multilevel"/>
    <w:tmpl w:val="71A81B56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">
    <w:nsid w:val="72D522D3"/>
    <w:multiLevelType w:val="multilevel"/>
    <w:tmpl w:val="72D522D3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">
    <w:nsid w:val="75423F0B"/>
    <w:multiLevelType w:val="multilevel"/>
    <w:tmpl w:val="75423F0B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">
    <w:nsid w:val="79015D65"/>
    <w:multiLevelType w:val="multilevel"/>
    <w:tmpl w:val="79015D65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  <w:sz w:val="20"/>
      </w:rPr>
    </w:lvl>
  </w:abstractNum>
  <w:num w:numId="1">
    <w:abstractNumId w:val="3"/>
  </w:num>
  <w:num w:numId="2">
    <w:abstractNumId w:val="0"/>
  </w:num>
  <w:num w:numId="3">
    <w:abstractNumId w:val="10"/>
  </w:num>
  <w:num w:numId="4">
    <w:abstractNumId w:val="2"/>
  </w:num>
  <w:num w:numId="5">
    <w:abstractNumId w:val="11"/>
  </w:num>
  <w:num w:numId="6">
    <w:abstractNumId w:val="5"/>
  </w:num>
  <w:num w:numId="7">
    <w:abstractNumId w:val="8"/>
  </w:num>
  <w:num w:numId="8">
    <w:abstractNumId w:val="1"/>
  </w:num>
  <w:num w:numId="9">
    <w:abstractNumId w:val="7"/>
  </w:num>
  <w:num w:numId="10">
    <w:abstractNumId w:val="6"/>
  </w:num>
  <w:num w:numId="11">
    <w:abstractNumId w:val="4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85C"/>
    <w:rsid w:val="00061798"/>
    <w:rsid w:val="000648DF"/>
    <w:rsid w:val="000F47D5"/>
    <w:rsid w:val="00172DA0"/>
    <w:rsid w:val="005B385C"/>
    <w:rsid w:val="007E35B2"/>
    <w:rsid w:val="00840F66"/>
    <w:rsid w:val="00943D0F"/>
    <w:rsid w:val="009A36E7"/>
    <w:rsid w:val="6E055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uk-UA" w:eastAsia="en-US" w:bidi="ar-SA"/>
    </w:rPr>
  </w:style>
  <w:style w:type="paragraph" w:styleId="2">
    <w:name w:val="heading 1"/>
    <w:basedOn w:val="1"/>
    <w:link w:val="10"/>
    <w:qFormat/>
    <w:uiPriority w:val="9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eastAsia="uk-U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Emphasis"/>
    <w:basedOn w:val="3"/>
    <w:qFormat/>
    <w:uiPriority w:val="20"/>
    <w:rPr>
      <w:i/>
      <w:iCs/>
    </w:rPr>
  </w:style>
  <w:style w:type="character" w:styleId="6">
    <w:name w:val="Hyperlink"/>
    <w:basedOn w:val="3"/>
    <w:semiHidden/>
    <w:unhideWhenUsed/>
    <w:qFormat/>
    <w:uiPriority w:val="99"/>
    <w:rPr>
      <w:color w:val="0000FF"/>
      <w:u w:val="single"/>
    </w:rPr>
  </w:style>
  <w:style w:type="character" w:styleId="7">
    <w:name w:val="Strong"/>
    <w:basedOn w:val="3"/>
    <w:qFormat/>
    <w:uiPriority w:val="22"/>
    <w:rPr>
      <w:b/>
      <w:bCs/>
    </w:rPr>
  </w:style>
  <w:style w:type="paragraph" w:styleId="8">
    <w:name w:val="Balloon Text"/>
    <w:basedOn w:val="1"/>
    <w:link w:val="12"/>
    <w:semiHidden/>
    <w:unhideWhenUsed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9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uk-UA"/>
    </w:rPr>
  </w:style>
  <w:style w:type="character" w:customStyle="1" w:styleId="10">
    <w:name w:val="Заголовок 1 Знак"/>
    <w:basedOn w:val="3"/>
    <w:link w:val="2"/>
    <w:qFormat/>
    <w:uiPriority w:val="9"/>
    <w:rPr>
      <w:rFonts w:ascii="Times New Roman" w:hAnsi="Times New Roman" w:eastAsia="Times New Roman" w:cs="Times New Roman"/>
      <w:b/>
      <w:bCs/>
      <w:kern w:val="36"/>
      <w:sz w:val="48"/>
      <w:szCs w:val="48"/>
      <w:lang w:eastAsia="uk-UA"/>
    </w:rPr>
  </w:style>
  <w:style w:type="paragraph" w:styleId="11">
    <w:name w:val="No Spacing"/>
    <w:qFormat/>
    <w:uiPriority w:val="1"/>
    <w:pPr>
      <w:widowControl w:val="0"/>
      <w:autoSpaceDE w:val="0"/>
      <w:autoSpaceDN w:val="0"/>
      <w:spacing w:after="0" w:line="240" w:lineRule="auto"/>
    </w:pPr>
    <w:rPr>
      <w:rFonts w:ascii="Times New Roman" w:hAnsi="Times New Roman" w:eastAsia="Times New Roman" w:cs="Times New Roman"/>
      <w:sz w:val="22"/>
      <w:szCs w:val="22"/>
      <w:lang w:val="uk-UA" w:eastAsia="en-US" w:bidi="ar-SA"/>
    </w:rPr>
  </w:style>
  <w:style w:type="character" w:customStyle="1" w:styleId="12">
    <w:name w:val="Текст у виносці Знак"/>
    <w:basedOn w:val="3"/>
    <w:link w:val="8"/>
    <w:semiHidden/>
    <w:qFormat/>
    <w:uiPriority w:val="99"/>
    <w:rPr>
      <w:rFonts w:ascii="Segoe UI" w:hAnsi="Segoe UI" w:cs="Segoe U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8252</Words>
  <Characters>4705</Characters>
  <Lines>39</Lines>
  <Paragraphs>25</Paragraphs>
  <TotalTime>0</TotalTime>
  <ScaleCrop>false</ScaleCrop>
  <LinksUpToDate>false</LinksUpToDate>
  <CharactersWithSpaces>12932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2023-03-29T16:12:00Z</dcterms:created>
  <dc:creator>123</dc:creator>
  <cp:lastModifiedBy>google1564164874</cp:lastModifiedBy>
  <cp:lastPrinted>2023-03-30T07:35:00Z</cp:lastPrinted>
  <dcterms:modified xsi:type="dcterms:W3CDTF">2024-02-14T11:00:18Z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88B8742A7CE24A08AB5FAD75C6A0E572_12</vt:lpwstr>
  </property>
</Properties>
</file>